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adicionando-feeds-de-dados-http-padrão-1"/>
    <w:p>
      <w:pPr>
        <w:pStyle w:val="Heading1"/>
      </w:pPr>
      <w:bookmarkStart w:id="20" w:name="aanchor248"/>
      <w:bookmarkEnd w:id="20"/>
      <w:r>
        <w:t xml:space="preserve"> </w:t>
      </w:r>
      <w:r>
        <w:t xml:space="preserve">Adicionando feeds de dados HTTP padrão</w:t>
      </w:r>
    </w:p>
    <w:p>
      <w:pPr>
        <w:pStyle w:val="FirstParagraph"/>
      </w:pPr>
      <w:r>
        <w:t xml:space="preserve">Conclua as tarefas a seguir para adicionar um feed de dados HTTP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4" w:name="Tarefa2Definaométododetransporte"/>
    <w:p>
      <w:pPr>
        <w:pStyle w:val="Heading2"/>
      </w:pPr>
      <w:r>
        <w:t xml:space="preserve">Tarefa 2: Defina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preencha os campos Tipo de arquivo, Tipo de ação e Filtro de arquivo.</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Seleções disponíveis</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a serem processados.</w:t>
            </w:r>
          </w:p>
        </w:tc>
      </w:tr>
      <w:tr>
        <w:tc>
          <w:tcPr/>
          <w:p>
            <w:pPr>
              <w:pStyle w:val="BodyText"/>
            </w:pPr>
            <w:r>
              <w:t xml:space="preserve">Arquivo Zip</w:t>
            </w:r>
          </w:p>
        </w:tc>
        <w:tc>
          <w:tcPr/>
          <w:p>
            <w:pPr>
              <w:pStyle w:val="BodyText"/>
            </w:pPr>
            <w:r>
              <w:t xml:space="preserve">Referencia um arquivo ZIP.</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r>
        <w:tc>
          <w:tcPr/>
          <w:p>
            <w:pPr>
              <w:pStyle w:val="BodyText"/>
            </w:pPr>
            <w:r>
              <w:t xml:space="preserve">Get</w:t>
            </w:r>
          </w:p>
        </w:tc>
        <w:tc>
          <w:tcPr/>
          <w:p>
            <w:pPr>
              <w:pStyle w:val="BodyText"/>
            </w:pPr>
            <w:r>
              <w:t xml:space="preserve">Utiliza o tipo GET de solicitação HTTP. Esse tipo adiciona os parâmetros à string de consulta.</w:t>
            </w:r>
          </w:p>
        </w:tc>
      </w:tr>
      <w:tr>
        <w:tc>
          <w:tcPr/>
          <w:p>
            <w:pPr>
              <w:pStyle w:val="BodyText"/>
            </w:pPr>
            <w:r>
              <w:t xml:space="preserve">Colocar</w:t>
            </w:r>
          </w:p>
        </w:tc>
        <w:tc>
          <w:tcPr/>
          <w:p>
            <w:pPr>
              <w:pStyle w:val="BodyText"/>
            </w:pPr>
            <w:r>
              <w:t xml:space="preserve">Utiliza o tipo POST de solicitação HTTP. Esse tipo inclui os parâmetros como parâmetros de formulário na solicitação.</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Na seção Propriedades de log-on, digite as credenciais aplicáveis para fazer log-on no site HTTP. Você pode especificar se o site HTTP permite acesso público ou restringe o acesso aos dados. Para acesso restrito, selecione:</w:t>
      </w:r>
    </w:p>
    <w:p>
      <w:pPr>
        <w:pStyle w:val="Compact"/>
        <w:numPr>
          <w:ilvl w:val="1"/>
          <w:numId w:val="1012"/>
        </w:numPr>
      </w:pPr>
      <w:r>
        <w:t xml:space="preserve">Usar a Conta de serviço do mecanismo de trabalho</w:t>
      </w:r>
    </w:p>
    <w:p>
      <w:pPr>
        <w:pStyle w:val="Compact"/>
        <w:numPr>
          <w:ilvl w:val="1"/>
          <w:numId w:val="1012"/>
        </w:numPr>
      </w:pPr>
      <w:r>
        <w:t xml:space="preserve">Use uma conta específica para fazer uma solicitação HTTP e digite suas credenciais de conta autorizadas.</w:t>
      </w:r>
    </w:p>
    <w:p>
      <w:pPr>
        <w:numPr>
          <w:ilvl w:val="0"/>
          <w:numId w:val="1009"/>
        </w:numPr>
      </w:pPr>
      <w:r>
        <w:t xml:space="preserve">Na seção Propriedades da solicitação de dados, preencha os seguintes campos.</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URI de solicitação de dados</w:t>
            </w:r>
          </w:p>
        </w:tc>
        <w:tc>
          <w:tcPr/>
          <w:p>
            <w:pPr>
              <w:pStyle w:val="BodyText"/>
            </w:pPr>
            <w:r>
              <w:t xml:space="preserve">Especifica o URI (Uniform Resource Identifier, identificador uniforme de recursos) do site HTTP ou HTTPS que contém os dados que você deseja importar. Esse campo também permite a especificação de uma porta, por exemplo, http://company-server:8080/httpFeed/.</w:t>
            </w:r>
          </w:p>
        </w:tc>
      </w:tr>
      <w:tr>
        <w:tc>
          <w:tcPr/>
          <w:p>
            <w:pPr>
              <w:pStyle w:val="BodyText"/>
            </w:pPr>
            <w:r>
              <w:t xml:space="preserve">Parâmetros de cabeçalho</w:t>
            </w:r>
          </w:p>
        </w:tc>
        <w:tc>
          <w:tcPr/>
          <w:p>
            <w:pPr>
              <w:pStyle w:val="BodyText"/>
            </w:pPr>
            <w:r>
              <w:t xml:space="preserve">Especifica o par de chaves/valores que pode ser necessário como parte da operação Obter ou Colocar em Parâmetros de cabeçalho.</w:t>
            </w:r>
          </w:p>
          <w:p>
            <w:pPr>
              <w:pStyle w:val="BodyText"/>
            </w:pPr>
            <w:r>
              <w:t xml:space="preserve">Para adicionar outro parâmetro de cabeçalho, clique em</w:t>
            </w:r>
            <w:r>
              <w:t xml:space="preserve"> </w:t>
            </w:r>
            <w:r>
              <w:t xml:space="preserve">Adicionar</w:t>
            </w:r>
            <w:r>
              <w:t xml:space="preserve">. Para remover um parâmetro de cabeçalho, clique em</w:t>
            </w:r>
            <w:r>
              <w:t xml:space="preserve"> </w:t>
            </w:r>
            <w:r>
              <w:t xml:space="preserve">Remover</w:t>
            </w:r>
            <w:r>
              <w:t xml:space="preserve"> </w:t>
            </w:r>
            <w:r>
              <w:t xml:space="preserve">na linha daquele parâmetro de cabeçalho.</w:t>
            </w:r>
          </w:p>
        </w:tc>
      </w:tr>
      <w:tr>
        <w:tc>
          <w:tcPr/>
          <w:p>
            <w:pPr>
              <w:pStyle w:val="BodyText"/>
            </w:pPr>
            <w:r>
              <w:t xml:space="preserve">Dados publicados</w:t>
            </w:r>
          </w:p>
        </w:tc>
        <w:tc>
          <w:tcPr/>
          <w:p>
            <w:pPr>
              <w:pStyle w:val="BodyText"/>
            </w:pPr>
            <w:r>
              <w:t xml:space="preserve">Especifica os dados de publicação.</w:t>
            </w:r>
          </w:p>
          <w:p>
            <w:pPr>
              <w:pStyle w:val="BodyText"/>
            </w:pPr>
            <w:r>
              <w:t xml:space="preserve">Esse campo somente estará disponível se você tiver selecionado Colocar como o Tipo de ação.</w:t>
            </w:r>
          </w:p>
        </w:tc>
      </w:tr>
    </w:tbl>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9 e 10.</w:t>
      </w:r>
    </w:p>
    <w:bookmarkEnd w:id="24"/>
    <w:bookmarkStart w:id="28"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5" w:name="Opção1DefiniroformatoXML"/>
    <w:p>
      <w:pPr>
        <w:pStyle w:val="Heading3"/>
      </w:pPr>
      <w:r>
        <w:t xml:space="preserve">Opção 1: Definir o formato XML</w:t>
      </w:r>
    </w:p>
    <w:p>
      <w:pPr>
        <w:pStyle w:val="Compact"/>
        <w:numPr>
          <w:ilvl w:val="0"/>
          <w:numId w:val="1017"/>
        </w:numPr>
      </w:pPr>
      <w:r>
        <w:t xml:space="preserve">Vá para a guia Análise de origem do feed de dados.</w:t>
      </w:r>
    </w:p>
    <w:p>
      <w:pPr>
        <w:numPr>
          <w:ilvl w:val="0"/>
          <w:numId w:val="1017"/>
        </w:numPr>
      </w:pPr>
      <w:r>
        <w:t xml:space="preserve">No campo Formato de origem, selecione XML.</w:t>
      </w:r>
    </w:p>
    <w:p>
      <w:pPr>
        <w:pStyle w:val="Compact"/>
        <w:numPr>
          <w:ilvl w:val="0"/>
          <w:numId w:val="1017"/>
        </w:numPr>
      </w:pPr>
      <w:r>
        <w:t xml:space="preserve">Na seção Definição de arquivo, se você deseja modificar a estrutura de seus dados de origem:</w:t>
      </w:r>
    </w:p>
    <w:p>
      <w:pPr>
        <w:pStyle w:val="Compact"/>
        <w:numPr>
          <w:ilvl w:val="1"/>
          <w:numId w:val="1018"/>
        </w:numPr>
      </w:pPr>
      <w:r>
        <w:t xml:space="preserve">Insira o XSLT que deseja usar para transformar seus dados de origem.</w:t>
      </w:r>
    </w:p>
    <w:p>
      <w:pPr>
        <w:pStyle w:val="Compact"/>
        <w:numPr>
          <w:ilvl w:val="1"/>
          <w:numId w:val="1019"/>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7"/>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5"/>
    <w:bookmarkStart w:id="26"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1"/>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2"/>
        </w:numPr>
      </w:pPr>
      <w:r>
        <w:t xml:space="preserve">Adicione a entrada ao nó &lt;root&gt; para o JSON que o nó XML não inclui entre aspas. As especificações de XML indicam como codificar os caracteres.</w:t>
      </w:r>
    </w:p>
    <w:p>
      <w:pPr>
        <w:pStyle w:val="Compact"/>
        <w:numPr>
          <w:ilvl w:val="0"/>
          <w:numId w:val="1022"/>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3"/>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3"/>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4"/>
        </w:numPr>
      </w:pPr>
      <w:r>
        <w:t xml:space="preserve">Vá para a guia Análise de origem do feed de dados.</w:t>
      </w:r>
    </w:p>
    <w:p>
      <w:pPr>
        <w:numPr>
          <w:ilvl w:val="0"/>
          <w:numId w:val="1024"/>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4"/>
        </w:numPr>
      </w:pPr>
      <w:r>
        <w:t xml:space="preserve">Na seção Definição de arquivo, se você deseja converter os dados de origem JSON em XML:</w:t>
      </w:r>
    </w:p>
    <w:p>
      <w:pPr>
        <w:pStyle w:val="Compact"/>
        <w:numPr>
          <w:ilvl w:val="1"/>
          <w:numId w:val="1025"/>
        </w:numPr>
      </w:pPr>
      <w:r>
        <w:t xml:space="preserve">Insira o XSLT que deseja usar para transformar seus dados de origem.</w:t>
      </w:r>
    </w:p>
    <w:p>
      <w:pPr>
        <w:pStyle w:val="Compact"/>
        <w:numPr>
          <w:ilvl w:val="1"/>
          <w:numId w:val="1025"/>
        </w:numPr>
      </w:pPr>
      <w:r>
        <w:t xml:space="preserve">Clique em Carregar XSLT para usar um arquivo previamente preparado.</w:t>
      </w:r>
    </w:p>
    <w:p>
      <w:pPr>
        <w:numPr>
          <w:ilvl w:val="0"/>
          <w:numId w:val="1024"/>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26"/>
    <w:bookmarkStart w:id="27"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7"/>
        </w:numPr>
      </w:pPr>
      <w:r>
        <w:t xml:space="preserve">Vá para a guia Análise de origem do feed de dados.</w:t>
      </w:r>
    </w:p>
    <w:p>
      <w:pPr>
        <w:pStyle w:val="Compact"/>
        <w:numPr>
          <w:ilvl w:val="0"/>
          <w:numId w:val="1027"/>
        </w:numPr>
      </w:pPr>
      <w:r>
        <w:t xml:space="preserve">No campo Formato de origem, selecione Texto delimitado.</w:t>
      </w:r>
    </w:p>
    <w:p>
      <w:pPr>
        <w:numPr>
          <w:ilvl w:val="0"/>
          <w:numId w:val="1027"/>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7"/>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7"/>
    <w:bookmarkEnd w:id="28"/>
    <w:bookmarkStart w:id="3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9" w:name="Opçõesdedados"/>
    <w:p>
      <w:pPr>
        <w:pStyle w:val="Heading3"/>
      </w:pPr>
      <w:r>
        <w:t xml:space="preserve">Opções de dados</w:t>
      </w:r>
    </w:p>
    <w:p>
      <w:pPr>
        <w:pStyle w:val="Compact"/>
        <w:numPr>
          <w:ilvl w:val="0"/>
          <w:numId w:val="1029"/>
        </w:numPr>
      </w:pPr>
      <w:r>
        <w:t xml:space="preserve">Importe os dados de origem usando seu formato atual para</w:t>
      </w:r>
      <w:r>
        <w:t xml:space="preserve"> </w:t>
      </w:r>
      <w:r>
        <w:t xml:space="preserve">Archer</w:t>
      </w:r>
      <w:r>
        <w:t xml:space="preserve">.</w:t>
      </w:r>
    </w:p>
    <w:p>
      <w:pPr>
        <w:pStyle w:val="Compact"/>
        <w:numPr>
          <w:ilvl w:val="0"/>
          <w:numId w:val="1029"/>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9"/>
        </w:numPr>
      </w:pPr>
      <w:r>
        <w:t xml:space="preserve">Use a guia Filtro de origem para importar apenas alguns registros para o aplicativo ou questionário de destino.</w:t>
      </w:r>
    </w:p>
    <w:p>
      <w:pPr>
        <w:pStyle w:val="Compact"/>
        <w:numPr>
          <w:ilvl w:val="1"/>
          <w:numId w:val="1030"/>
        </w:numPr>
      </w:pPr>
      <w:r>
        <w:t xml:space="preserve">Deixe os valores do campo em branco para retornar todos os registros dos dados de origem.</w:t>
      </w:r>
    </w:p>
    <w:p>
      <w:pPr>
        <w:pStyle w:val="Compact"/>
        <w:numPr>
          <w:ilvl w:val="1"/>
          <w:numId w:val="1030"/>
        </w:numPr>
      </w:pPr>
      <w:r>
        <w:t xml:space="preserve">Insira os valores dos campos e use a Lógica de operador avançado para retornar apenas registros específicos dos dados de origem.</w:t>
      </w:r>
    </w:p>
    <w:p>
      <w:pPr>
        <w:pStyle w:val="Compact"/>
        <w:numPr>
          <w:ilvl w:val="0"/>
          <w:numId w:val="1029"/>
        </w:numPr>
      </w:pPr>
      <w:r>
        <w:t xml:space="preserve">Capture tokens de dados da última execução de um feed de dados para configurar a próxima execução do feed de dados.</w:t>
      </w:r>
    </w:p>
    <w:bookmarkEnd w:id="29"/>
    <w:bookmarkStart w:id="31" w:name="Processo"/>
    <w:p>
      <w:pPr>
        <w:pStyle w:val="Heading3"/>
      </w:pPr>
      <w:r>
        <w:t xml:space="preserve">Processo</w:t>
      </w:r>
    </w:p>
    <w:p>
      <w:pPr>
        <w:numPr>
          <w:ilvl w:val="0"/>
          <w:numId w:val="1031"/>
        </w:numPr>
      </w:pPr>
      <w:r>
        <w:t xml:space="preserve">Vá para a guia Definição de origem &gt; guia Dados de origem.</w:t>
      </w:r>
    </w:p>
    <w:p>
      <w:pPr>
        <w:pStyle w:val="Compact"/>
        <w:numPr>
          <w:ilvl w:val="0"/>
          <w:numId w:val="1031"/>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1"/>
        </w:numPr>
      </w:pPr>
      <w:r>
        <w:t xml:space="preserve">Digite um nome de campo de origem.</w:t>
      </w:r>
    </w:p>
    <w:p>
      <w:pPr>
        <w:pStyle w:val="Compact"/>
        <w:numPr>
          <w:ilvl w:val="0"/>
          <w:numId w:val="1031"/>
        </w:numPr>
      </w:pPr>
      <w:r>
        <w:t xml:space="preserve">Na lista, selecione um Tipo de campo.</w:t>
      </w:r>
    </w:p>
    <w:p>
      <w:pPr>
        <w:numPr>
          <w:ilvl w:val="0"/>
          <w:numId w:val="1031"/>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1"/>
        </w:numPr>
      </w:pPr>
      <w:r>
        <w:t xml:space="preserve">Clique em Adicionar novo.</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1"/>
    <w:bookmarkEnd w:id="32"/>
    <w:bookmarkStart w:id="33"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3"/>
        </w:numPr>
      </w:pPr>
      <w:r>
        <w:t xml:space="preserve">Feeds de dados de Archer para Archer: Não use essa opção. É recomendável filtrar os dados de relatório.</w:t>
      </w:r>
    </w:p>
    <w:p>
      <w:pPr>
        <w:numPr>
          <w:ilvl w:val="0"/>
          <w:numId w:val="1033"/>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3"/>
        </w:numPr>
      </w:pPr>
      <w:r>
        <w:t xml:space="preserve">Feeds de dados de monitoramento de e-mails: é recomendável filtrar o e-mail definindo filtros na guia Definição de origem.</w:t>
      </w:r>
    </w:p>
    <w:p>
      <w:pPr>
        <w:numPr>
          <w:ilvl w:val="0"/>
          <w:numId w:val="1034"/>
        </w:numPr>
      </w:pPr>
      <w:r>
        <w:t xml:space="preserve">Vá para a guia Definição de origem &gt; guia Filtro de origem</w:t>
      </w:r>
    </w:p>
    <w:p>
      <w:pPr>
        <w:numPr>
          <w:ilvl w:val="0"/>
          <w:numId w:val="1034"/>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5"/>
        </w:numPr>
      </w:pPr>
      <w:r>
        <w:t xml:space="preserve">Se o campo A tiver um campo filho B, que tem um campo filho C, uma vez que o campo B tem um campo filho C, você não pode filtrar pelo campo A.</w:t>
      </w:r>
    </w:p>
    <w:p>
      <w:pPr>
        <w:numPr>
          <w:ilvl w:val="1"/>
          <w:numId w:val="1035"/>
        </w:numPr>
      </w:pPr>
      <w:r>
        <w:t xml:space="preserve">Se o campo A tiver um campo filho B, mas o campo B não tiver nenhum campo filho, você poderá filtrar pelo campo A.</w:t>
      </w:r>
    </w:p>
    <w:p>
      <w:pPr>
        <w:pStyle w:val="Compact"/>
        <w:numPr>
          <w:ilvl w:val="0"/>
          <w:numId w:val="1034"/>
        </w:numPr>
      </w:pPr>
      <w:r>
        <w:t xml:space="preserve">Na lista Nome do campo, selecione o nome do campo da fonte de dados à qual deseja aplicar um filtro.</w:t>
      </w:r>
    </w:p>
    <w:p>
      <w:pPr>
        <w:pStyle w:val="Compact"/>
        <w:numPr>
          <w:ilvl w:val="0"/>
          <w:numId w:val="1034"/>
        </w:numPr>
      </w:pPr>
      <w:r>
        <w:t xml:space="preserve">Na lista Operador, selecione um operador para definir qual tipo de filtro deseja aplicar aos dados de origem.</w:t>
      </w:r>
    </w:p>
    <w:p>
      <w:pPr>
        <w:pStyle w:val="Compact"/>
        <w:numPr>
          <w:ilvl w:val="0"/>
          <w:numId w:val="1034"/>
        </w:numPr>
      </w:pPr>
      <w:r>
        <w:t xml:space="preserve">Na coluna Valores, informe um valor baseado na seleção feita na coluna Operador.</w:t>
      </w:r>
    </w:p>
    <w:p>
      <w:pPr>
        <w:pStyle w:val="Compact"/>
        <w:numPr>
          <w:ilvl w:val="0"/>
          <w:numId w:val="1034"/>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4"/>
        </w:numPr>
      </w:pPr>
      <w:r>
        <w:t xml:space="preserve">Execute uma das seguintes tarefas opcionais:</w:t>
      </w:r>
    </w:p>
    <w:p>
      <w:pPr>
        <w:pStyle w:val="Compact"/>
        <w:numPr>
          <w:ilvl w:val="1"/>
          <w:numId w:val="1036"/>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6"/>
        </w:numPr>
      </w:pPr>
      <w:r>
        <w:t xml:space="preserve">Para remover um filtro de dados, na coluna Ações do filtro que você deseja remover, clique em</w:t>
      </w:r>
      <w:r>
        <w:t xml:space="preserve"> </w:t>
      </w:r>
      <w:r>
        <w:t xml:space="preserve">Remover</w:t>
      </w:r>
      <w:r>
        <w:t xml:space="preserve">.</w:t>
      </w:r>
    </w:p>
    <w:p>
      <w:pPr>
        <w:numPr>
          <w:ilvl w:val="0"/>
          <w:numId w:val="1034"/>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3"/>
    <w:bookmarkStart w:id="34" w:name="Xec703caeb69b5ae2b49d83d8a9467610a802b75"/>
    <w:p>
      <w:pPr>
        <w:pStyle w:val="Heading2"/>
      </w:pPr>
      <w:r>
        <w:t xml:space="preserve">Tarefa 6: Associar os campos de origem aos campos de destino</w:t>
      </w:r>
    </w:p>
    <w:p>
      <w:pPr>
        <w:numPr>
          <w:ilvl w:val="0"/>
          <w:numId w:val="1038"/>
        </w:numPr>
      </w:pPr>
      <w:r>
        <w:t xml:space="preserve">Vá para a guia Mapa de dados &gt; guia Mapa de campo.</w:t>
      </w:r>
    </w:p>
    <w:p>
      <w:pPr>
        <w:pStyle w:val="Compact"/>
        <w:numPr>
          <w:ilvl w:val="0"/>
          <w:numId w:val="1038"/>
        </w:numPr>
      </w:pPr>
      <w:r>
        <w:t xml:space="preserve">Associe o campo de origem ao aplicativo ou ao questionário aplicável. Execute um destes procedimentos:</w:t>
      </w:r>
    </w:p>
    <w:p>
      <w:pPr>
        <w:numPr>
          <w:ilvl w:val="1"/>
          <w:numId w:val="1039"/>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9"/>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8"/>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8"/>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8"/>
        </w:numPr>
      </w:pPr>
      <w:r>
        <w:t xml:space="preserve">(Opcional) Realize uma ou mais das seguintes ações:</w:t>
      </w:r>
    </w:p>
    <w:p>
      <w:pPr>
        <w:pStyle w:val="Compact"/>
        <w:numPr>
          <w:ilvl w:val="1"/>
          <w:numId w:val="1040"/>
        </w:numPr>
      </w:pPr>
      <w:r>
        <w:t xml:space="preserve">Para excluir um mapeamento para um único campo, na coluna Ações, clique em</w:t>
      </w:r>
      <w:r>
        <w:t xml:space="preserve"> </w:t>
      </w:r>
      <w:r>
        <w:t xml:space="preserve">Excluir</w:t>
      </w:r>
      <w:r>
        <w:t xml:space="preserve">.</w:t>
      </w:r>
    </w:p>
    <w:p>
      <w:pPr>
        <w:pStyle w:val="Compact"/>
        <w:numPr>
          <w:ilvl w:val="1"/>
          <w:numId w:val="1040"/>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8"/>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34"/>
    <w:bookmarkStart w:id="35"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2"/>
        </w:numPr>
      </w:pPr>
      <w:r>
        <w:t xml:space="preserve">Vá para a guia Mapa de dados &gt; guia Definição de campo de chave.</w:t>
      </w:r>
    </w:p>
    <w:p>
      <w:pPr>
        <w:numPr>
          <w:ilvl w:val="0"/>
          <w:numId w:val="1042"/>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2"/>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2"/>
        </w:numPr>
      </w:pPr>
      <w:r>
        <w:t xml:space="preserve">No campo Nome do campo, selecione um campo do aplicativo ou questionário de destino que identifique exclusivamente o registro.</w:t>
      </w:r>
    </w:p>
    <w:p>
      <w:pPr>
        <w:pStyle w:val="Compact"/>
        <w:numPr>
          <w:ilvl w:val="0"/>
          <w:numId w:val="1042"/>
        </w:numPr>
      </w:pPr>
      <w:r>
        <w:t xml:space="preserve">(Opcional) Atribua teclas de combinação para o registro. Faça o seguinte:</w:t>
      </w:r>
    </w:p>
    <w:p>
      <w:pPr>
        <w:pStyle w:val="Compact"/>
        <w:numPr>
          <w:ilvl w:val="1"/>
          <w:numId w:val="1043"/>
        </w:numPr>
      </w:pPr>
      <w:r>
        <w:t xml:space="preserve">Na coluna Ações, clique em</w:t>
      </w:r>
      <w:r>
        <w:t xml:space="preserve"> </w:t>
      </w:r>
      <w:r>
        <w:t xml:space="preserve">Adicionar</w:t>
      </w:r>
      <w:r>
        <w:t xml:space="preserve">.</w:t>
      </w:r>
    </w:p>
    <w:p>
      <w:pPr>
        <w:pStyle w:val="Compact"/>
        <w:numPr>
          <w:ilvl w:val="1"/>
          <w:numId w:val="1043"/>
        </w:numPr>
      </w:pPr>
      <w:r>
        <w:t xml:space="preserve">No campo Nome do campo, selecione um campo.</w:t>
      </w:r>
    </w:p>
    <w:p>
      <w:pPr>
        <w:numPr>
          <w:ilvl w:val="0"/>
          <w:numId w:val="1042"/>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2"/>
        </w:numPr>
      </w:pPr>
      <w:r>
        <w:t xml:space="preserve">Na coluna Operador, selecione a opção aplicável para os critérios de correspondência da chave simples.</w:t>
      </w:r>
    </w:p>
    <w:p>
      <w:pPr>
        <w:numPr>
          <w:ilvl w:val="0"/>
          <w:numId w:val="1042"/>
        </w:numPr>
      </w:pPr>
      <w:r>
        <w:t xml:space="preserve">Execute um destes procedimentos:</w:t>
      </w:r>
    </w:p>
    <w:p>
      <w:pPr>
        <w:pStyle w:val="Compact"/>
        <w:numPr>
          <w:ilvl w:val="1"/>
          <w:numId w:val="1044"/>
        </w:numPr>
      </w:pPr>
      <w:r>
        <w:t xml:space="preserve">Para continuar configurando o feed de dados, vá para a próxima tarefa.</w:t>
      </w:r>
    </w:p>
    <w:p>
      <w:pPr>
        <w:pStyle w:val="Compact"/>
        <w:numPr>
          <w:ilvl w:val="1"/>
          <w:numId w:val="1044"/>
        </w:numPr>
      </w:pPr>
      <w:r>
        <w:t xml:space="preserve">Para terminar de configurar o feed mais tarde, clique em Salvar ou Salvar e fechar.</w:t>
      </w:r>
    </w:p>
    <w:bookmarkEnd w:id="35"/>
    <w:bookmarkStart w:id="36"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5"/>
        </w:numPr>
      </w:pPr>
      <w:r>
        <w:t xml:space="preserve">Vá para a guia Executar a configuração &gt; seção Agendamento.</w:t>
      </w:r>
    </w:p>
    <w:p>
      <w:pPr>
        <w:numPr>
          <w:ilvl w:val="0"/>
          <w:numId w:val="1045"/>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6"/>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6"/>
              </w:numPr>
            </w:pPr>
            <w:r>
              <w:t xml:space="preserve">A cada hora. Executa o feed de dados conforme o intervalo definido, por exemplo, a cada hora (1), em horas alternadas (2) etc.</w:t>
            </w:r>
          </w:p>
          <w:p>
            <w:pPr>
              <w:pStyle w:val="Compact"/>
              <w:numPr>
                <w:ilvl w:val="0"/>
                <w:numId w:val="1046"/>
              </w:numPr>
            </w:pPr>
            <w:r>
              <w:t xml:space="preserve">Diariamente. Executa o feed de dados conforme o intervalo definido, por exemplo, todos os dias (1), em dias alternados (2) etc.</w:t>
            </w:r>
          </w:p>
          <w:p>
            <w:pPr>
              <w:pStyle w:val="Compact"/>
              <w:numPr>
                <w:ilvl w:val="0"/>
                <w:numId w:val="1046"/>
              </w:numPr>
            </w:pPr>
            <w:r>
              <w:t xml:space="preserve">Semanalmente. Executa o feed de dados com base em um dia especificado da semana, por exemplo, quinzenalmente às segundas-feiras (2), a cada três segundas-feiras (3) etc.</w:t>
            </w:r>
          </w:p>
          <w:p>
            <w:pPr>
              <w:pStyle w:val="Compact"/>
              <w:numPr>
                <w:ilvl w:val="0"/>
                <w:numId w:val="1046"/>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5"/>
        </w:numPr>
      </w:pPr>
      <w:r>
        <w:t xml:space="preserve">Para salvar o feed de dados, clique em Salvar ou Salvar e fechar.</w:t>
      </w:r>
    </w:p>
    <w:p>
      <w:pPr>
        <w:numPr>
          <w:ilvl w:val="0"/>
          <w:numId w:val="1045"/>
        </w:numPr>
      </w:pPr>
      <w:r>
        <w:t xml:space="preserve">Execute um destes procedimentos:</w:t>
      </w:r>
    </w:p>
    <w:p>
      <w:pPr>
        <w:pStyle w:val="Compact"/>
        <w:numPr>
          <w:ilvl w:val="1"/>
          <w:numId w:val="1047"/>
        </w:numPr>
      </w:pPr>
      <w:r>
        <w:t xml:space="preserve">Para continuar configurando o feed de dados, vá para a próxima tarefa.</w:t>
      </w:r>
    </w:p>
    <w:p>
      <w:pPr>
        <w:pStyle w:val="Compact"/>
        <w:numPr>
          <w:ilvl w:val="1"/>
          <w:numId w:val="1047"/>
        </w:numPr>
      </w:pPr>
      <w:r>
        <w:t xml:space="preserve">Para terminar de configurar o feed mais tarde, clique em Salvar ou Salvar e fechar.</w:t>
      </w:r>
    </w:p>
    <w:bookmarkEnd w:id="36"/>
    <w:bookmarkStart w:id="37" w:name="Tarefa9Definirtokensdedados"/>
    <w:p>
      <w:pPr>
        <w:pStyle w:val="Heading2"/>
      </w:pPr>
      <w:r>
        <w:t xml:space="preserve">Tarefa 9: Definir tokens de dados</w:t>
      </w:r>
    </w:p>
    <w:p>
      <w:pPr>
        <w:pStyle w:val="Compact"/>
        <w:numPr>
          <w:ilvl w:val="0"/>
          <w:numId w:val="1048"/>
        </w:numPr>
      </w:pPr>
      <w:r>
        <w:t xml:space="preserve">Vá para a guia Executar a configuração &gt; seção Agendamento.</w:t>
      </w:r>
    </w:p>
    <w:p>
      <w:pPr>
        <w:pStyle w:val="Compact"/>
        <w:numPr>
          <w:ilvl w:val="0"/>
          <w:numId w:val="1048"/>
        </w:numPr>
      </w:pPr>
      <w:r>
        <w:t xml:space="preserve">(Opcional) Clique em</w:t>
      </w:r>
      <w:r>
        <w:t xml:space="preserve"> </w:t>
      </w:r>
      <w:r>
        <w:t xml:space="preserve">Adicionar</w:t>
      </w:r>
      <w:r>
        <w:t xml:space="preserve"> </w:t>
      </w:r>
      <w:r>
        <w:t xml:space="preserve">para adicionar um token adicional.</w:t>
      </w:r>
    </w:p>
    <w:p>
      <w:pPr>
        <w:pStyle w:val="Compact"/>
        <w:numPr>
          <w:ilvl w:val="0"/>
          <w:numId w:val="1048"/>
        </w:numPr>
      </w:pPr>
      <w:r>
        <w:t xml:space="preserve">No campo Valor do token que você deseja modificar, informe o valor atualizado.</w:t>
      </w:r>
    </w:p>
    <w:p>
      <w:pPr>
        <w:pStyle w:val="Compact"/>
        <w:numPr>
          <w:ilvl w:val="0"/>
          <w:numId w:val="1048"/>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8"/>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7"/>
    <w:bookmarkStart w:id="38"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0"/>
        </w:numPr>
      </w:pPr>
      <w:r>
        <w:t xml:space="preserve">Vá para a guia Executar a configuração &gt; seção Processamento de registro de destino.</w:t>
      </w:r>
    </w:p>
    <w:p>
      <w:pPr>
        <w:pStyle w:val="Compact"/>
        <w:numPr>
          <w:ilvl w:val="0"/>
          <w:numId w:val="1050"/>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0"/>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1"/>
              </w:numPr>
            </w:pPr>
            <w:r>
              <w:t xml:space="preserve">Nível 3 ou inferior em um aplicativo em níveis.</w:t>
            </w:r>
          </w:p>
          <w:p>
            <w:pPr>
              <w:pStyle w:val="Compact"/>
              <w:numPr>
                <w:ilvl w:val="0"/>
                <w:numId w:val="1051"/>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0"/>
        </w:numPr>
      </w:pPr>
      <w:r>
        <w:t xml:space="preserve">Execute um destes procedimentos:</w:t>
      </w:r>
    </w:p>
    <w:p>
      <w:pPr>
        <w:pStyle w:val="Compact"/>
        <w:numPr>
          <w:ilvl w:val="1"/>
          <w:numId w:val="1052"/>
        </w:numPr>
      </w:pPr>
      <w:r>
        <w:t xml:space="preserve">Para continuar configurando o feed de dados, vá para a próxima tarefa.</w:t>
      </w:r>
    </w:p>
    <w:p>
      <w:pPr>
        <w:pStyle w:val="Compact"/>
        <w:numPr>
          <w:ilvl w:val="1"/>
          <w:numId w:val="1052"/>
        </w:numPr>
      </w:pPr>
      <w:r>
        <w:t xml:space="preserve">Para terminar de configurar o feed mais tarde, clique em Salvar ou Salvar e fechar.</w:t>
      </w:r>
    </w:p>
    <w:bookmarkEnd w:id="38"/>
    <w:bookmarkStart w:id="39"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3"/>
        </w:numPr>
      </w:pPr>
      <w:r>
        <w:t xml:space="preserve">Vá para a guia Executar a configuração &gt; seção Pós-processamento.</w:t>
      </w:r>
    </w:p>
    <w:p>
      <w:pPr>
        <w:numPr>
          <w:ilvl w:val="0"/>
          <w:numId w:val="1053"/>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3"/>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4"/>
              </w:numPr>
            </w:pPr>
            <w:r>
              <w:t xml:space="preserve">Todos os status - Sucesso, aviso e falha</w:t>
            </w:r>
          </w:p>
          <w:p>
            <w:pPr>
              <w:numPr>
                <w:ilvl w:val="0"/>
                <w:numId w:val="1054"/>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3"/>
        </w:numPr>
      </w:pPr>
      <w:r>
        <w:t xml:space="preserve">Para salvar o feed de dados, clique em Salvar ou Salvar e fechar.</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3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3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2025-02-19T20:14:40Z</dcterms:created>
  <dcterms:modified xsi:type="dcterms:W3CDTF">2025-02-19T20:14:40Z</dcterms:modified>
</cp:coreProperties>
</file>

<file path=docProps/custom.xml><?xml version="1.0" encoding="utf-8"?>
<Properties xmlns="http://schemas.openxmlformats.org/officeDocument/2006/custom-properties" xmlns:vt="http://schemas.openxmlformats.org/officeDocument/2006/docPropsVTypes"/>
</file>