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e4b0a0f0a41138e18a243bf6387ba20cc517fde"/>
    <w:p>
      <w:pPr>
        <w:pStyle w:val="Heading1"/>
      </w:pPr>
      <w:bookmarkStart w:id="20" w:name="aanchor87"/>
      <w:bookmarkEnd w:id="20"/>
      <w:r>
        <w:t xml:space="preserve"> </w:t>
      </w:r>
      <w:r>
        <w:t xml:space="preserve">Adicionando feeds de dados de HTTP do tipo Somente transporte</w:t>
      </w:r>
    </w:p>
    <w:p>
      <w:pPr>
        <w:pStyle w:val="FirstParagraph"/>
      </w:pPr>
      <w:r>
        <w:t xml:space="preserve">Este recurso está disponível apenas para instalações locais do Archer.</w:t>
      </w:r>
    </w:p>
    <w:p>
      <w:pPr>
        <w:pStyle w:val="BodyText"/>
      </w:pPr>
      <w:r>
        <w:t xml:space="preserve">Conclua as seguintes tarefas para adicionar um feed de dados de HTTP do tipo Somente transporte.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Tarefa2Definirom%C3%A9tododetransporte">
        <w:r>
          <w:rPr>
            <w:rStyle w:val="Hyperlink"/>
          </w:rPr>
          <w:t xml:space="preserve">Tarefa 2: Definir o método de transporte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22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t xml:space="preserve">Selecionar</w:t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21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22"/>
    <w:bookmarkStart w:id="24" w:name="Tarefa2Definirométododetransporte"/>
    <w:p>
      <w:pPr>
        <w:pStyle w:val="Heading2"/>
      </w:pPr>
      <w:r>
        <w:t xml:space="preserve">Tarefa 2: Definir o método de transporte</w:t>
      </w:r>
    </w:p>
    <w:p>
      <w:pPr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pStyle w:val="Compact"/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Configuração de transporte, preencha os campos Tipo de arquivo, Tipo de ação e Filtro de arquivo.</w:t>
      </w:r>
    </w:p>
    <w:p>
      <w:pPr>
        <w:pStyle w:val="Compact"/>
      </w:pPr>
      <w:r>
        <w:t xml:space="preserve">A tabela a seguir descreve os campos.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Seleções disponíveis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de dados único</w:t>
            </w:r>
          </w:p>
        </w:tc>
        <w:tc>
          <w:tcPr/>
          <w:p>
            <w:pPr>
              <w:pStyle w:val="BodyText"/>
            </w:pPr>
            <w:r>
              <w:t xml:space="preserve">Referencia um arquivo de dados único.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de manifesto</w:t>
            </w:r>
          </w:p>
        </w:tc>
        <w:tc>
          <w:tcPr/>
          <w:p>
            <w:pPr>
              <w:pStyle w:val="BodyText"/>
            </w:pPr>
            <w:r>
              <w:t xml:space="preserve">Aponta o Gerenciador do alimentador de dados para um arquivo que contém uma lista de arquivos a serem processados.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Zip</w:t>
            </w:r>
          </w:p>
        </w:tc>
        <w:tc>
          <w:tcPr/>
          <w:p>
            <w:pPr>
              <w:pStyle w:val="BodyText"/>
            </w:pPr>
            <w:r>
              <w:t xml:space="preserve">Referencia um arquivo ZIP.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todos os nomes de arquivo em um arquivo ZIP devem consistir em caracteres do conjunto de caracteres, página de código 437.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Get</w:t>
            </w:r>
          </w:p>
        </w:tc>
        <w:tc>
          <w:tcPr/>
          <w:p>
            <w:pPr>
              <w:pStyle w:val="BodyText"/>
            </w:pPr>
            <w:r>
              <w:t xml:space="preserve">Utiliza o tipo GET de solicitação HTTP. Esse tipo adiciona os parâmetros à string de consulta.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Colocar</w:t>
            </w:r>
          </w:p>
        </w:tc>
        <w:tc>
          <w:tcPr/>
          <w:p>
            <w:pPr>
              <w:pStyle w:val="BodyText"/>
            </w:pPr>
            <w:r>
              <w:t xml:space="preserve">Utiliza o tipo POST de solicitação HTTP. Esse tipo inclui os parâmetros como parâmetros de formulário na solicitação.</w:t>
            </w:r>
          </w:p>
        </w:tc>
      </w:tr>
    </w:tbl>
    <w:p>
      <w:pPr>
        <w:pStyle w:val="Compact"/>
        <w:numPr>
          <w:ilvl w:val="1"/>
          <w:numId w:val="1008"/>
        </w:numPr>
      </w:pPr>
      <w:r>
        <w:t xml:space="preserve">Caminho: o caminho para a origem externa da qual os dados são importados quando você executa o feed de dados</w:t>
      </w:r>
    </w:p>
    <w:p>
      <w:pPr>
        <w:numPr>
          <w:ilvl w:val="1"/>
          <w:numId w:val="1008"/>
        </w:numPr>
      </w:pPr>
      <w:r>
        <w:t xml:space="preserve">Filtro de arquivo: Especifica quais arquivos no caminho o feed de dados processa. Esse campo pode conter um filtro único de arquivo ou uma lista de filtros de arquivo separados por ponto e vírgula. O feed de dados somente processa os dados incluídos no campo Filtro de arquivo.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Ao definir o Filtro de Arquivo para um arquivo ZIP, insira o arquivo ZIP como o primeiro tipo de arquivo no caminho. No caso de arquivos ZIP, o feed de dados pesquisa primeiro no diretório pai e, em seguida, pesquisa no arquivo dentro do arquivo ZIP especificado, com base nos critérios do filtro.</w:t>
      </w:r>
    </w:p>
    <w:p>
      <w:pPr>
        <w:numPr>
          <w:ilvl w:val="1"/>
          <w:numId w:val="1000"/>
        </w:numPr>
      </w:pPr>
      <w:r>
        <w:t xml:space="preserve">Exemplo: Archer.zip; data.csv</w:t>
      </w:r>
    </w:p>
    <w:p>
      <w:pPr>
        <w:pStyle w:val="Compact"/>
        <w:numPr>
          <w:ilvl w:val="1"/>
          <w:numId w:val="1008"/>
        </w:numPr>
      </w:pPr>
      <w:r>
        <w:t xml:space="preserve">Tipo de criptografia: Esta opção está disponível apenas para arquivos ZIP. Selecione um Tipo de criptografia na lista e digite uma senha para concluir a criptografia. Escolha um dos seguintes tipos de criptografia para seu feed de dados:</w:t>
      </w:r>
    </w:p>
    <w:p>
      <w:pPr>
        <w:pStyle w:val="Compact"/>
        <w:numPr>
          <w:ilvl w:val="2"/>
          <w:numId w:val="1009"/>
        </w:numPr>
      </w:pPr>
      <w:r>
        <w:t xml:space="preserve">Nenhum</w:t>
      </w:r>
    </w:p>
    <w:p>
      <w:pPr>
        <w:pStyle w:val="Compact"/>
        <w:numPr>
          <w:ilvl w:val="2"/>
          <w:numId w:val="1009"/>
        </w:numPr>
      </w:pPr>
      <w:r>
        <w:t xml:space="preserve">WinZip</w:t>
      </w:r>
    </w:p>
    <w:p>
      <w:pPr>
        <w:pStyle w:val="Compact"/>
        <w:numPr>
          <w:ilvl w:val="2"/>
          <w:numId w:val="1009"/>
        </w:numPr>
      </w:pPr>
      <w:r>
        <w:t xml:space="preserve">Rijndael/ AES (Advanced Encryption Standard, padrão de criptografia avançada)</w:t>
      </w:r>
    </w:p>
    <w:p>
      <w:pPr>
        <w:numPr>
          <w:ilvl w:val="0"/>
          <w:numId w:val="1007"/>
        </w:numPr>
      </w:pPr>
      <w:r>
        <w:t xml:space="preserve">Na seção Propriedades de log-on, digite as credenciais aplicáveis para fazer log-on no site HTTP. Você pode especificar se o site HTTP permite acesso público ou restringe o acesso aos dados. Para acesso restrito, selecione:</w:t>
      </w:r>
    </w:p>
    <w:p>
      <w:pPr>
        <w:pStyle w:val="Compact"/>
        <w:numPr>
          <w:ilvl w:val="1"/>
          <w:numId w:val="1010"/>
        </w:numPr>
      </w:pPr>
      <w:r>
        <w:t xml:space="preserve">Usar a Conta de serviço do mecanismo de trabalho</w:t>
      </w:r>
    </w:p>
    <w:p>
      <w:pPr>
        <w:pStyle w:val="Compact"/>
        <w:numPr>
          <w:ilvl w:val="1"/>
          <w:numId w:val="1010"/>
        </w:numPr>
      </w:pPr>
      <w:r>
        <w:t xml:space="preserve">Use uma conta específica para fazer uma solicitação HTTP e digite suas credenciais de conta autorizadas.</w:t>
      </w:r>
    </w:p>
    <w:p>
      <w:pPr>
        <w:numPr>
          <w:ilvl w:val="0"/>
          <w:numId w:val="1007"/>
        </w:numPr>
      </w:pPr>
      <w:r>
        <w:t xml:space="preserve">Na seção Propriedades da solicitação de dados, preencha os seguintes campos.</w:t>
      </w:r>
    </w:p>
    <w:p>
      <w:pPr>
        <w:pStyle w:val="Compact"/>
      </w:pPr>
      <w:r>
        <w:t xml:space="preserve">A tabela a seguir descreve os campos.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URI de solicitação de dados</w:t>
            </w:r>
          </w:p>
        </w:tc>
        <w:tc>
          <w:tcPr/>
          <w:p>
            <w:pPr>
              <w:pStyle w:val="BodyText"/>
            </w:pPr>
            <w:r>
              <w:t xml:space="preserve">Especifica o URI (Uniform Resource Identifier, identificador uniforme de recursos) do site HTTP ou HTTPS que contém os dados que você deseja importar. Esse campo também permite a especificação de uma porta, por exemplo, http://company-server:8080/httpFeed/.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Parâmetros de cabeçalho</w:t>
            </w:r>
          </w:p>
        </w:tc>
        <w:tc>
          <w:tcPr/>
          <w:p>
            <w:pPr>
              <w:pStyle w:val="BodyText"/>
            </w:pPr>
            <w:r>
              <w:t xml:space="preserve">Especifica o par de chaves/valores que pode ser necessário como parte da operação Obter ou Colocar em Parâmetros de cabeçalho.</w:t>
            </w:r>
          </w:p>
          <w:p>
            <w:pPr>
              <w:pStyle w:val="BodyText"/>
            </w:pPr>
            <w:r>
              <w:t xml:space="preserve">Para adicionar outro parâmetro de cabeçalho, clique em</w:t>
            </w:r>
            <w:r>
              <w:t xml:space="preserve"> </w:t>
            </w:r>
            <w:r>
              <w:t xml:space="preserve">Adicionar</w:t>
            </w:r>
            <w:r>
              <w:t xml:space="preserve">. Para remover um parâmetro de cabeçalho, clique em</w:t>
            </w:r>
            <w:r>
              <w:t xml:space="preserve"> </w:t>
            </w:r>
            <w:r>
              <w:t xml:space="preserve">Remover</w:t>
            </w:r>
            <w:r>
              <w:t xml:space="preserve"> </w:t>
            </w:r>
            <w:r>
              <w:t xml:space="preserve">na linha daquele parâmetro de cabeçalho.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Dados publicados</w:t>
            </w:r>
          </w:p>
        </w:tc>
        <w:tc>
          <w:tcPr/>
          <w:p>
            <w:pPr>
              <w:pStyle w:val="BodyText"/>
            </w:pPr>
            <w:r>
              <w:t xml:space="preserve">Especifica os dados de publicação.</w:t>
            </w:r>
          </w:p>
          <w:p>
            <w:pPr>
              <w:pStyle w:val="BodyText"/>
            </w:pPr>
            <w:r>
              <w:t xml:space="preserve">Esse campo somente estará disponível se você tiver selecionado Colocar como o Tipo de ação.</w:t>
            </w:r>
          </w:p>
        </w:tc>
      </w:tr>
    </w:tbl>
    <w:p>
      <w:pPr>
        <w:numPr>
          <w:ilvl w:val="0"/>
          <w:numId w:val="1007"/>
        </w:numPr>
      </w:pPr>
      <w:r>
        <w:t xml:space="preserve">(Opcional) No campo Opção de proxy, selecione a opção de proxy aplicável. Você pode especificar se o feed de dados passa por um proxy para acessar os dados de origem. Defina a configuração do proxy do sistema no painel de controle ou configure e forneça parâmetros para acessar outro proxy.</w:t>
      </w:r>
    </w:p>
    <w:p>
      <w:pPr>
        <w:numPr>
          <w:ilvl w:val="0"/>
          <w:numId w:val="1007"/>
        </w:numPr>
      </w:pPr>
      <w:r>
        <w:t xml:space="preserve">(Opcional) Preencha os campos aplicáveis se você selecionou uma opção de proxy. Forneça o nome, a ID da porta, o domínio do servidor proxy e as credenciais do usuário para fazer log-on no servidor proxy.</w:t>
      </w:r>
    </w:p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23" w:name="Tokensdenomedearquivo"/>
            <w:r>
              <w:t xml:space="preserve">Tokens de nome de arquivo</w:t>
            </w:r>
            <w:bookmarkEnd w:id="23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11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4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4"/>
        </w:numPr>
      </w:pPr>
      <w:r>
        <w:t xml:space="preserve">Para terminar de configurar o feed mais tarde, clique em Salvar ou Salvar e fechar.</w:t>
      </w:r>
    </w:p>
    <w:bookmarkEnd w:id="24"/>
    <w:bookmarkStart w:id="25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5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5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6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5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5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7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7"/>
        </w:numPr>
      </w:pPr>
      <w:r>
        <w:t xml:space="preserve">Para terminar de configurar o feed mais tarde, clique em Salvar ou Salvar e fechar.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2025-02-19T20:14:42Z</dcterms:created>
  <dcterms:modified xsi:type="dcterms:W3CDTF">2025-02-19T20:14:42Z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