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bookmarkStart w:id="41" w:name="X039d37cdcf21c5b6d3e03da2eaa108b954d98f1"/>
    <w:p>
      <w:pPr>
        <w:pStyle w:val="Heading1"/>
      </w:pPr>
      <w:bookmarkStart w:id="20" w:name="aanchor137"/>
      <w:bookmarkEnd w:id="20"/>
      <w:r>
        <w:t xml:space="preserve"> </w:t>
      </w:r>
      <w:r>
        <w:t xml:space="preserve">Adicionando feeds de dados de JavaScript somente transporte</w:t>
      </w:r>
    </w:p>
    <w:p>
      <w:pPr>
        <w:pStyle w:val="FirstParagraph"/>
      </w:pPr>
      <w:r>
        <w:t xml:space="preserve">Este recurso está disponível apenas para instalações locais do Archer.</w:t>
      </w:r>
    </w:p>
    <w:p>
      <w:pPr>
        <w:pStyle w:val="BodyText"/>
      </w:pPr>
      <w:r>
        <w:t xml:space="preserve">Conclua as seguintes tarefas para adicionar um feed de dados de JavaScript do tipo Somente transporte.</w:t>
      </w:r>
    </w:p>
    <w:p>
      <w:pPr>
        <w:pStyle w:val="BodyText"/>
      </w:pPr>
      <w:r>
        <w:t xml:space="preserve">Nesta página</w:t>
      </w:r>
    </w:p>
    <w:p>
      <w:pPr>
        <w:pStyle w:val="Compact"/>
        <w:numPr>
          <w:ilvl w:val="0"/>
          <w:numId w:val="1001"/>
        </w:numPr>
      </w:pPr>
      <w:hyperlink w:anchor="X09200154ca4bcabf9be034a723b7e1d1d39b6f4">
        <w:r>
          <w:rPr>
            <w:rStyle w:val="Hyperlink"/>
          </w:rPr>
          <w:t xml:space="preserve">Tarefa 1: Adicionar um feed de dados de transporte</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iroagendamentodofeeddedados">
        <w:r>
          <w:rPr>
            <w:rStyle w:val="Hyperlink"/>
          </w:rPr>
          <w:t xml:space="preserve">Tarefa 3: Definir o agendamento do feed de dados</w:t>
        </w:r>
      </w:hyperlink>
    </w:p>
    <w:bookmarkStart w:id="31" w:name="X09200154ca4bcabf9be034a723b7e1d1d39b6f4"/>
    <w:p>
      <w:pPr>
        <w:pStyle w:val="Heading2"/>
      </w:pPr>
      <w:r>
        <w:t xml:space="preserve">Tarefa 1: Adicionar um feed de dados de transporte</w:t>
      </w:r>
    </w:p>
    <w:p>
      <w:pPr>
        <w:numPr>
          <w:ilvl w:val="0"/>
          <w:numId w:val="1003"/>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3"/>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3"/>
        </w:numPr>
      </w:pPr>
      <w:r>
        <w:t xml:space="preserve">Na seção Informações gerais, faça o seguinte:</w:t>
      </w:r>
    </w:p>
    <w:p>
      <w:pPr>
        <w:numPr>
          <w:ilvl w:val="1"/>
          <w:numId w:val="1004"/>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4"/>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3"/>
        </w:numPr>
      </w:pPr>
      <w:r>
        <w:t xml:space="preserve">Na seção Informações do feed, faça o seguinte:</w:t>
      </w:r>
    </w:p>
    <w:p>
      <w:pPr>
        <w:pStyle w:val="Compact"/>
        <w:numPr>
          <w:ilvl w:val="1"/>
          <w:numId w:val="1005"/>
        </w:numPr>
      </w:pPr>
      <w:r>
        <w:t xml:space="preserve">No campo Tipo de feed, selecione Somente transporte. Consulte Adicionando feeds de dados padrão para adicionar um feed de dados padrão.</w:t>
      </w:r>
    </w:p>
    <w:p>
      <w:pPr>
        <w:pStyle w:val="Compact"/>
        <w:numPr>
          <w:ilvl w:val="1"/>
          <w:numId w:val="1005"/>
        </w:numPr>
      </w:pPr>
      <w:r>
        <w:t xml:space="preserve">No campo Caminho de destino, digite o caminho do diretório no qual os dados do arquivo de origem exportado são salvos.</w:t>
      </w:r>
    </w:p>
    <w:p>
      <w:pPr>
        <w:pStyle w:val="Compact"/>
        <w:numPr>
          <w:ilvl w:val="1"/>
          <w:numId w:val="1005"/>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3"/>
        </w:numPr>
      </w:pPr>
      <w:r>
        <w:t xml:space="preserve">Execute um destes procedimentos:</w:t>
      </w:r>
    </w:p>
    <w:p>
      <w:pPr>
        <w:pStyle w:val="Compact"/>
        <w:numPr>
          <w:ilvl w:val="1"/>
          <w:numId w:val="1006"/>
        </w:numPr>
      </w:pPr>
      <w:r>
        <w:t xml:space="preserve">Para continuar configurando o feed de dados, vá para a próxima tarefa.</w:t>
      </w:r>
    </w:p>
    <w:p>
      <w:pPr>
        <w:pStyle w:val="Compact"/>
        <w:numPr>
          <w:ilvl w:val="1"/>
          <w:numId w:val="1006"/>
        </w:numPr>
      </w:pPr>
      <w:r>
        <w:t xml:space="preserve">Para terminar de configurar o feed mais tarde, clique em Salvar ou Salvar e fechar.</w:t>
      </w:r>
    </w:p>
    <w:bookmarkEnd w:id="31"/>
    <w:bookmarkStart w:id="39" w:name="Tarefa2Definirométododetransporte"/>
    <w:p>
      <w:pPr>
        <w:pStyle w:val="Heading2"/>
      </w:pPr>
      <w:r>
        <w:t xml:space="preserve">Tarefa 2: Definir o método de transporte</w:t>
      </w:r>
    </w:p>
    <w:p>
      <w:pPr>
        <w:pStyle w:val="Compact"/>
        <w:numPr>
          <w:ilvl w:val="0"/>
          <w:numId w:val="1007"/>
        </w:numPr>
      </w:pPr>
      <w:r>
        <w:t xml:space="preserve">Vá para a guia Conexão de origem do feed de dados.</w:t>
      </w:r>
    </w:p>
    <w:p>
      <w:pPr>
        <w:pStyle w:val="Compact"/>
        <w:numPr>
          <w:ilvl w:val="0"/>
          <w:numId w:val="1007"/>
        </w:numPr>
      </w:pPr>
      <w:r>
        <w:t xml:space="preserve">Na lista Local de origem, selecione um local.</w:t>
      </w:r>
    </w:p>
    <w:p>
      <w:pPr>
        <w:pStyle w:val="Compact"/>
        <w:numPr>
          <w:ilvl w:val="0"/>
          <w:numId w:val="1007"/>
        </w:numPr>
      </w:pPr>
      <w:r>
        <w:t xml:space="preserve">Na lista Método de transporte, selecione um tipo de transporte.</w:t>
      </w:r>
    </w:p>
    <w:p>
      <w:pPr>
        <w:numPr>
          <w:ilvl w:val="0"/>
          <w:numId w:val="1007"/>
        </w:numPr>
      </w:pPr>
      <w:r>
        <w:t xml:space="preserve">Na seção Configuração de transporte, selecione o arquivo JavaScript que você deseja carregar.</w:t>
      </w:r>
    </w:p>
    <w:p>
      <w:pPr>
        <w:numPr>
          <w:ilvl w:val="0"/>
          <w:numId w:val="1000"/>
        </w:numPr>
      </w:pPr>
      <w:r>
        <w:t xml:space="preserve">O</w:t>
      </w:r>
      <w:r>
        <w:t xml:space="preserve"> </w:t>
      </w:r>
      <w:r>
        <w:t xml:space="preserve">Archer</w:t>
      </w:r>
      <w:r>
        <w:t xml:space="preserve"> </w:t>
      </w:r>
      <w:r>
        <w:t xml:space="preserve">fornece um JavaScript de amostra na seção Configuração de transporte, que descreve cada parte do script e a configuração de cada parte de seu ambiente.</w:t>
      </w:r>
    </w:p>
    <w:p>
      <w:pPr>
        <w:pStyle w:val="Compact"/>
        <w:numPr>
          <w:ilvl w:val="1"/>
          <w:numId w:val="1008"/>
        </w:numPr>
      </w:pPr>
      <w:r>
        <w:t xml:space="preserve">Na seção Configuração de transporte, clique em</w:t>
      </w:r>
      <w:r>
        <w:t xml:space="preserve"> </w:t>
      </w:r>
      <w:r>
        <w:drawing>
          <wp:inline>
            <wp:extent cx="140676" cy="140676"/>
            <wp:effectExtent b="0" l="0" r="0" t="0"/>
            <wp:docPr descr="Adicionar" title="Adicionar" id="33" name="Picture"/>
            <a:graphic>
              <a:graphicData uri="http://schemas.openxmlformats.org/drawingml/2006/picture">
                <pic:pic>
                  <pic:nvPicPr>
                    <pic:cNvPr descr="C:/Users/samue/WebScrapper/HelpArcher-to-pdf/images/39a07b32a496c6749aa9a4c6107e7493.png" id="34" name="Picture"/>
                    <pic:cNvPicPr>
                      <a:picLocks noChangeArrowheads="1" noChangeAspect="1"/>
                    </pic:cNvPicPr>
                  </pic:nvPicPr>
                  <pic:blipFill>
                    <a:blip r:embed="rId32"/>
                    <a:stretch>
                      <a:fillRect/>
                    </a:stretch>
                  </pic:blipFill>
                  <pic:spPr bwMode="auto">
                    <a:xfrm>
                      <a:off x="0" y="0"/>
                      <a:ext cx="140676" cy="140676"/>
                    </a:xfrm>
                    <a:prstGeom prst="rect">
                      <a:avLst/>
                    </a:prstGeom>
                    <a:noFill/>
                    <a:ln w="9525">
                      <a:noFill/>
                      <a:headEnd/>
                      <a:tailEnd/>
                    </a:ln>
                  </pic:spPr>
                </pic:pic>
              </a:graphicData>
            </a:graphic>
          </wp:inline>
        </w:drawing>
      </w:r>
      <w:r>
        <w:t xml:space="preserve">.</w:t>
      </w:r>
    </w:p>
    <w:p>
      <w:pPr>
        <w:pStyle w:val="Compact"/>
        <w:numPr>
          <w:ilvl w:val="1"/>
          <w:numId w:val="1008"/>
        </w:numPr>
      </w:pPr>
      <w:r>
        <w:t xml:space="preserve">Na caixa de diálogo Fazer upload do arquivo JavaScript, clique em Adicionar novo.</w:t>
      </w:r>
    </w:p>
    <w:p>
      <w:pPr>
        <w:pStyle w:val="Compact"/>
        <w:numPr>
          <w:ilvl w:val="1"/>
          <w:numId w:val="1008"/>
        </w:numPr>
      </w:pPr>
      <w:r>
        <w:t xml:space="preserve">Navegue até o arquivo que deseja carregar, selecione-o e clique em Abrir.</w:t>
      </w:r>
    </w:p>
    <w:p>
      <w:pPr>
        <w:pStyle w:val="Compact"/>
        <w:numPr>
          <w:ilvl w:val="1"/>
          <w:numId w:val="1008"/>
        </w:numPr>
      </w:pPr>
      <w:r>
        <w:t xml:space="preserve">Na caixa de diálogo Fazer upload do arquivo JavaScript, clique em OK.</w:t>
      </w:r>
    </w:p>
    <w:p>
      <w:pPr>
        <w:numPr>
          <w:ilvl w:val="0"/>
          <w:numId w:val="1000"/>
        </w:numPr>
      </w:pPr>
      <w:r>
        <w:rPr>
          <w:b/>
          <w:bCs/>
        </w:rPr>
        <w:t xml:space="preserve">Importante:</w:t>
      </w:r>
      <w:r>
        <w:t xml:space="preserve"> </w:t>
      </w:r>
      <w:r>
        <w:t xml:space="preserve">Se o Transportador de JavaScript tiver sido configurado no Archer Control Panel para só aceitar arquivos JavaScript com assinatura digital de fontes confiáveis, você poderá selecionar apenas os arquivos JavaScript com assinatura digital provenientes de fontes confiáveis. Para obter mais detalhes, consulte "Definindo as configurações do Transportador de JavaScript" na Ajuda do Painel de controle do</w:t>
      </w:r>
      <w:r>
        <w:t xml:space="preserve"> </w:t>
      </w:r>
      <w:hyperlink r:id="rId35">
        <w:r>
          <w:rPr>
            <w:rStyle w:val="Hyperlink"/>
          </w:rPr>
          <w:t xml:space="preserve">Archer</w:t>
        </w:r>
      </w:hyperlink>
      <w:r>
        <w:t xml:space="preserve">.</w:t>
      </w:r>
    </w:p>
    <w:p>
      <w:pPr>
        <w:numPr>
          <w:ilvl w:val="0"/>
          <w:numId w:val="1007"/>
        </w:numPr>
      </w:pPr>
      <w:r>
        <w:t xml:space="preserve">(Opcional) Na seção Parâmetros personalizados, especifique os parâmetros personalizados que você deseja referenciar dentro do arquivo JavaScript selecionado.</w:t>
      </w:r>
    </w:p>
    <w:p>
      <w:pPr>
        <w:pStyle w:val="Compact"/>
        <w:numPr>
          <w:ilvl w:val="1"/>
          <w:numId w:val="1009"/>
        </w:numPr>
      </w:pPr>
      <w:r>
        <w:t xml:space="preserve">Na seção Parâmetros personalizados, clique em</w:t>
      </w:r>
      <w:r>
        <w:t xml:space="preserve"> </w:t>
      </w:r>
      <w:r>
        <w:drawing>
          <wp:inline>
            <wp:extent cx="140676" cy="140676"/>
            <wp:effectExtent b="0" l="0" r="0" t="0"/>
            <wp:docPr descr="Adicionar" title="Adicionar" id="36" name="Picture"/>
            <a:graphic>
              <a:graphicData uri="http://schemas.openxmlformats.org/drawingml/2006/picture">
                <pic:pic>
                  <pic:nvPicPr>
                    <pic:cNvPr descr="C:/Users/samue/WebScrapper/HelpArcher-to-pdf/images/39a07b32a496c6749aa9a4c6107e7493.png" id="37" name="Picture"/>
                    <pic:cNvPicPr>
                      <a:picLocks noChangeArrowheads="1" noChangeAspect="1"/>
                    </pic:cNvPicPr>
                  </pic:nvPicPr>
                  <pic:blipFill>
                    <a:blip r:embed="rId32"/>
                    <a:stretch>
                      <a:fillRect/>
                    </a:stretch>
                  </pic:blipFill>
                  <pic:spPr bwMode="auto">
                    <a:xfrm>
                      <a:off x="0" y="0"/>
                      <a:ext cx="140676" cy="140676"/>
                    </a:xfrm>
                    <a:prstGeom prst="rect">
                      <a:avLst/>
                    </a:prstGeom>
                    <a:noFill/>
                    <a:ln w="9525">
                      <a:noFill/>
                      <a:headEnd/>
                      <a:tailEnd/>
                    </a:ln>
                  </pic:spPr>
                </pic:pic>
              </a:graphicData>
            </a:graphic>
          </wp:inline>
        </w:drawing>
      </w:r>
      <w:r>
        <w:t xml:space="preserve">.</w:t>
      </w:r>
    </w:p>
    <w:p>
      <w:pPr>
        <w:pStyle w:val="Compact"/>
        <w:numPr>
          <w:ilvl w:val="1"/>
          <w:numId w:val="1009"/>
        </w:numPr>
      </w:pPr>
      <w:r>
        <w:t xml:space="preserve">No campo Chave, digite o nome da variável que você deseja usar.</w:t>
      </w:r>
    </w:p>
    <w:p>
      <w:pPr>
        <w:numPr>
          <w:ilvl w:val="1"/>
          <w:numId w:val="1009"/>
        </w:numPr>
      </w:pPr>
      <w:r>
        <w:t xml:space="preserve">No campo Tipo, selecione Texto simples ou Protegido.</w:t>
      </w:r>
    </w:p>
    <w:p>
      <w:pPr>
        <w:numPr>
          <w:ilvl w:val="1"/>
          <w:numId w:val="1000"/>
        </w:numPr>
      </w:pPr>
      <w:r>
        <w:rPr>
          <w:b/>
          <w:bCs/>
        </w:rPr>
        <w:t xml:space="preserve">Observação:</w:t>
      </w:r>
      <w:r>
        <w:t xml:space="preserve"> </w:t>
      </w:r>
      <w:r>
        <w:t xml:space="preserve">o modo protegido criptografa o valor no banco de dados e o mascara na instância. É recomendável que você use o tipo Protegido para informações confidenciais.</w:t>
      </w:r>
    </w:p>
    <w:p>
      <w:pPr>
        <w:pStyle w:val="Compact"/>
        <w:numPr>
          <w:ilvl w:val="1"/>
          <w:numId w:val="1009"/>
        </w:numPr>
      </w:pPr>
      <w:r>
        <w:t xml:space="preserve">No campo Valor, digite o valor que você deseja atribuir à chave.</w:t>
      </w:r>
    </w:p>
    <w:p>
      <w:pPr>
        <w:pStyle w:val="Compact"/>
        <w:numPr>
          <w:ilvl w:val="1"/>
          <w:numId w:val="1009"/>
        </w:numPr>
      </w:pPr>
      <w:r>
        <w:t xml:space="preserve">Para adicionar mais parâmetros personalizados, repita as etapas a–d.</w:t>
      </w:r>
    </w:p>
    <w:p>
      <w:pPr>
        <w:numPr>
          <w:ilvl w:val="0"/>
          <w:numId w:val="1007"/>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8" w:name="Tokensdenomedearquivo"/>
            <w:r>
              <w:t xml:space="preserve">Tokens de nome de arquivo</w:t>
            </w:r>
            <w:bookmarkEnd w:id="38"/>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0"/>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0"/>
              </w:numPr>
            </w:pPr>
            <w:r>
              <w:t xml:space="preserve">DataFileDirectoryName. Update the filename with the directory name, including the drive, of your file.</w:t>
            </w:r>
          </w:p>
          <w:p>
            <w:pPr>
              <w:numPr>
                <w:ilvl w:val="0"/>
                <w:numId w:val="1010"/>
              </w:numPr>
            </w:pPr>
            <w:r>
              <w:t xml:space="preserve">DataFileName. Insert the original filename, excluding the directory name and extension.</w:t>
            </w:r>
          </w:p>
          <w:p>
            <w:pPr>
              <w:numPr>
                <w:ilvl w:val="0"/>
                <w:numId w:val="1010"/>
              </w:numPr>
            </w:pPr>
            <w:r>
              <w:t xml:space="preserve">DataFileExtension. Insert the file extension, such as .csv, in the new filename.</w:t>
            </w:r>
          </w:p>
          <w:p>
            <w:pPr>
              <w:numPr>
                <w:ilvl w:val="0"/>
                <w:numId w:val="1010"/>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1"/>
              </w:numPr>
            </w:pPr>
            <w:r>
              <w:t xml:space="preserve">Input Tokens: {DataFileDirectoryName}\success\{DataFileName}_{Now(MM.dd.yyyy)}.{DataFileExtension}</w:t>
            </w:r>
          </w:p>
          <w:p>
            <w:pPr>
              <w:pStyle w:val="Compact"/>
              <w:numPr>
                <w:ilvl w:val="0"/>
                <w:numId w:val="1011"/>
              </w:numPr>
            </w:pPr>
            <w:r>
              <w:t xml:space="preserve">Output: C:\DataFeed\Source\ESL\processed\success\ThreatData_01.31.2008.csv</w:t>
            </w:r>
          </w:p>
          <w:p>
            <w:pPr>
              <w:pStyle w:val="FirstParagraph"/>
            </w:pPr>
            <w:r>
              <w:t xml:space="preserve">Example 2</w:t>
            </w:r>
          </w:p>
          <w:p>
            <w:pPr>
              <w:pStyle w:val="Compact"/>
              <w:numPr>
                <w:ilvl w:val="0"/>
                <w:numId w:val="1012"/>
              </w:numPr>
            </w:pPr>
            <w:r>
              <w:t xml:space="preserve">Input Tokens: \\DFSRepository\{Now(yyyy)}\{Now(MM)}\{DataFileName}_success.{DataFileExtension}</w:t>
            </w:r>
          </w:p>
          <w:p>
            <w:pPr>
              <w:pStyle w:val="Compact"/>
              <w:numPr>
                <w:ilvl w:val="0"/>
                <w:numId w:val="1012"/>
              </w:numPr>
            </w:pPr>
            <w:r>
              <w:t xml:space="preserve">Output: \\DFSRepository\2008\01\ThreatData_success.csv</w:t>
            </w:r>
          </w:p>
        </w:tc>
      </w:tr>
    </w:tbl>
    <w:p>
      <w:pPr>
        <w:numPr>
          <w:ilvl w:val="0"/>
          <w:numId w:val="1007"/>
        </w:numPr>
      </w:pPr>
      <w:r>
        <w:t xml:space="preserve">Se você selecionou a opção Renomear pós-processamento, digite o local e o nome do novo arquivo que deseja salvar no Caminho do arquivo e no campo Nome.</w:t>
      </w:r>
    </w:p>
    <w:p>
      <w:pPr>
        <w:numPr>
          <w:ilvl w:val="0"/>
          <w:numId w:val="1007"/>
        </w:numPr>
      </w:pPr>
      <w:r>
        <w:t xml:space="preserve">Execute um destes procedimentos:</w:t>
      </w:r>
    </w:p>
    <w:p>
      <w:pPr>
        <w:pStyle w:val="Compact"/>
        <w:numPr>
          <w:ilvl w:val="1"/>
          <w:numId w:val="1013"/>
        </w:numPr>
      </w:pPr>
      <w:r>
        <w:t xml:space="preserve">Para continuar configurando o feed de dados, vá para a próxima tarefa.</w:t>
      </w:r>
    </w:p>
    <w:p>
      <w:pPr>
        <w:pStyle w:val="Compact"/>
        <w:numPr>
          <w:ilvl w:val="1"/>
          <w:numId w:val="1013"/>
        </w:numPr>
      </w:pPr>
      <w:r>
        <w:t xml:space="preserve">Para terminar de configurar o feed mais tarde, clique em Salvar ou Salvar e fechar.</w:t>
      </w:r>
    </w:p>
    <w:bookmarkEnd w:id="39"/>
    <w:bookmarkStart w:id="40" w:name="Tarefa3Definiroagendamentodofeeddedados"/>
    <w:p>
      <w:pPr>
        <w:pStyle w:val="Heading2"/>
      </w:pPr>
      <w:r>
        <w:t xml:space="preserve">Tarefa 3: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14"/>
        </w:numPr>
      </w:pPr>
      <w:r>
        <w:t xml:space="preserve">Vá para a guia Executar a configuração &gt; seção Agendamento.</w:t>
      </w:r>
    </w:p>
    <w:p>
      <w:pPr>
        <w:numPr>
          <w:ilvl w:val="0"/>
          <w:numId w:val="1014"/>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15"/>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15"/>
              </w:numPr>
            </w:pPr>
            <w:r>
              <w:t xml:space="preserve">A cada hora. Executa o feed de dados conforme o intervalo definido, por exemplo, a cada hora (1), em horas alternadas (2) etc.</w:t>
            </w:r>
          </w:p>
          <w:p>
            <w:pPr>
              <w:pStyle w:val="Compact"/>
              <w:numPr>
                <w:ilvl w:val="0"/>
                <w:numId w:val="1015"/>
              </w:numPr>
            </w:pPr>
            <w:r>
              <w:t xml:space="preserve">Diariamente. Executa o feed de dados conforme o intervalo definido, por exemplo, todos os dias (1), em dias alternados (2) etc.</w:t>
            </w:r>
          </w:p>
          <w:p>
            <w:pPr>
              <w:pStyle w:val="Compact"/>
              <w:numPr>
                <w:ilvl w:val="0"/>
                <w:numId w:val="1015"/>
              </w:numPr>
            </w:pPr>
            <w:r>
              <w:t xml:space="preserve">Semanalmente. Executa o feed de dados com base em um dia especificado da semana, por exemplo, quinzenalmente às segundas-feiras (2), a cada três segundas-feiras (3) etc.</w:t>
            </w:r>
          </w:p>
          <w:p>
            <w:pPr>
              <w:pStyle w:val="Compact"/>
              <w:numPr>
                <w:ilvl w:val="0"/>
                <w:numId w:val="1015"/>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14"/>
        </w:numPr>
      </w:pPr>
      <w:r>
        <w:t xml:space="preserve">Para salvar o feed de dados, clique em Salvar ou Salvar e fechar.</w:t>
      </w:r>
    </w:p>
    <w:p>
      <w:pPr>
        <w:numPr>
          <w:ilvl w:val="0"/>
          <w:numId w:val="1014"/>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5" Target="https://help.archerirm.cloud/archer_suite_help/en-us/Content/PortalHome/platform_home.htm" TargetMode="External" /><Relationship Type="http://schemas.openxmlformats.org/officeDocument/2006/relationships/hyperlink" Id="rId30"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35" Target="https://help.archerirm.cloud/archer_suite_help/en-us/Content/PortalHome/platform_home.htm" TargetMode="External" /><Relationship Type="http://schemas.openxmlformats.org/officeDocument/2006/relationships/hyperlink" Id="rId30"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2025-03-06T16:33:46Z</dcterms:created>
  <dcterms:modified xsi:type="dcterms:W3CDTF">2025-03-06T16:33:46Z</dcterms:modified>
</cp:coreProperties>
</file>

<file path=docProps/custom.xml><?xml version="1.0" encoding="utf-8"?>
<Properties xmlns="http://schemas.openxmlformats.org/officeDocument/2006/custom-properties" xmlns:vt="http://schemas.openxmlformats.org/officeDocument/2006/docPropsVTypes"/>
</file>