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4ab48fa7b15d8d7f5550d3d56506841242ace27"/>
    <w:p>
      <w:pPr>
        <w:pStyle w:val="Heading1"/>
      </w:pPr>
      <w:bookmarkStart w:id="20" w:name="aanchor257"/>
      <w:bookmarkEnd w:id="20"/>
      <w:r>
        <w:t xml:space="preserve"> </w:t>
      </w:r>
      <w:r>
        <w:t xml:space="preserve">Feeds de dados de monitoramento de e-mails</w:t>
      </w:r>
    </w:p>
    <w:p>
      <w:pPr>
        <w:pStyle w:val="FirstParagraph"/>
      </w:pPr>
      <w:r>
        <w:t xml:space="preserve">Este tópico é aplicável apenas a instalações locais do Archer.</w:t>
      </w:r>
    </w:p>
    <w:p>
      <w:pPr>
        <w:pStyle w:val="BodyText"/>
      </w:pPr>
      <w:r>
        <w:t xml:space="preserve">O feed de dados Mail Monitor Transporter permite monitorar contas de e-mail utilizando campos de e-mail ou corpo de texto XML sem formatação para especificar campos em um aplicativo. Ao receber conteúdo de e-mail no Archer, você pode avaliar e processar diferentes informações de e-mail e, depois, criar e documentar planos de ação bem definidos com base nessas informações.</w:t>
      </w:r>
    </w:p>
    <w:p>
      <w:pPr>
        <w:pStyle w:val="BodyText"/>
      </w:pPr>
      <w:r>
        <w:t xml:space="preserve">Ao integrar um aplicativo ou questionário a um feed de dados de monitoramento de e-mails, você pode:</w:t>
      </w:r>
    </w:p>
    <w:p>
      <w:pPr>
        <w:pStyle w:val="Compact"/>
        <w:numPr>
          <w:ilvl w:val="0"/>
          <w:numId w:val="1001"/>
        </w:numPr>
      </w:pPr>
      <w:r>
        <w:t xml:space="preserve">Inserir conteúdo de e-mail em um aplicativo ou questionário.</w:t>
      </w:r>
    </w:p>
    <w:p>
      <w:pPr>
        <w:pStyle w:val="Compact"/>
        <w:numPr>
          <w:ilvl w:val="0"/>
          <w:numId w:val="1001"/>
        </w:numPr>
      </w:pPr>
      <w:r>
        <w:t xml:space="preserve">Recuperar mensagens de e-mail, como alertas de vulnerabilidade e alertas de monitoramento de código aberto.</w:t>
      </w:r>
    </w:p>
    <w:p>
      <w:pPr>
        <w:pStyle w:val="Compact"/>
        <w:numPr>
          <w:ilvl w:val="0"/>
          <w:numId w:val="1001"/>
        </w:numPr>
      </w:pPr>
      <w:r>
        <w:t xml:space="preserve">Definir o mapeamento de campo do conteúdo de e-mail para registros de conteúdo.</w:t>
      </w:r>
    </w:p>
    <w:p>
      <w:pPr>
        <w:pStyle w:val="Compact"/>
        <w:numPr>
          <w:ilvl w:val="0"/>
          <w:numId w:val="1001"/>
        </w:numPr>
      </w:pPr>
      <w:r>
        <w:t xml:space="preserve">Configurar protocolos de e-mail, servidores de e-mail, contas de e-mail e intervalos de programado.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É recomendável que você configure uma conexão SSL para se conectar com o servidor de e-mail.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Para que o feed de dados seja executado com sucesso, o servidor responsável pela execução do feed de dados precisa ter uma conta de serviço com credenciais de log-on válidas.</w:t>
      </w:r>
    </w:p>
    <w:p>
      <w:pPr>
        <w:pStyle w:val="BodyText"/>
      </w:pPr>
      <w:r>
        <w:t xml:space="preserve">Utilize as seguintes tarefas para adicionar um alimentador de dados de monitoramento de e-mails: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</w:rPr>
          <w:t xml:space="preserve">Adicionando feeds de dados padrão de monitoramento de e-mails</w:t>
        </w:r>
      </w:hyperlink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Adicionando feeds de dados de monitoramento de e-mails do tipo Somente transporte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mail_monitor_std_adding.htm" TargetMode="External" /><Relationship Type="http://schemas.openxmlformats.org/officeDocument/2006/relationships/hyperlink" Id="rId22" Target="int_dfm_mail_monitor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mail_monitor_std_adding.htm" TargetMode="External" /><Relationship Type="http://schemas.openxmlformats.org/officeDocument/2006/relationships/hyperlink" Id="rId22" Target="int_dfm_mail_monitor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2025-03-06T16:33:52Z</dcterms:created>
  <dcterms:modified xsi:type="dcterms:W3CDTF">2025-03-06T16:33:52Z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