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X8054b8a16c32e87f23f349e89348f98e2f57d6c"/>
    <w:p>
      <w:pPr>
        <w:pStyle w:val="Heading1"/>
      </w:pPr>
      <w:bookmarkStart w:id="20" w:name="aanchor38"/>
      <w:bookmarkEnd w:id="20"/>
      <w:r>
        <w:t xml:space="preserve"> </w:t>
      </w:r>
      <w:r>
        <w:t xml:space="preserve">Adicionando feeds de dados padrão de monitoramento de e-mails</w:t>
      </w:r>
    </w:p>
    <w:p>
      <w:pPr>
        <w:pStyle w:val="FirstParagraph"/>
      </w:pPr>
      <w:r>
        <w:t xml:space="preserve">Este recurso está disponível apenas para instalações locais do Archer.</w:t>
      </w:r>
    </w:p>
    <w:p>
      <w:pPr>
        <w:pStyle w:val="BodyText"/>
      </w:pPr>
      <w:r>
        <w:t xml:space="preserve">Conclua as seguintes tarefas para adicionar um feed de dados padrão de monitoramento de e-mails.</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4" w:name="Tarefa2Definirométododetransporte"/>
    <w:p>
      <w:pPr>
        <w:pStyle w:val="Heading2"/>
      </w:pPr>
      <w:r>
        <w:t xml:space="preserve">Tarefa 2: Definir o método de transporte</w:t>
      </w:r>
    </w:p>
    <w:p>
      <w:pPr>
        <w:pStyle w:val="Compact"/>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de transporte, digite as propriedade e as credencias do servidor de e-mail.</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Protocolo</w:t>
            </w:r>
          </w:p>
        </w:tc>
        <w:tc>
          <w:tcPr/>
          <w:p>
            <w:pPr>
              <w:pStyle w:val="BodyText"/>
            </w:pPr>
            <w:r>
              <w:t xml:space="preserve">Especifica qual protocolo recupera e-mails de seu servidor de e-mail.</w:t>
            </w:r>
          </w:p>
          <w:p>
            <w:pPr>
              <w:pStyle w:val="Compact"/>
              <w:numPr>
                <w:ilvl w:val="0"/>
                <w:numId w:val="1009"/>
              </w:numPr>
            </w:pPr>
            <w:r>
              <w:t xml:space="preserve">POP3</w:t>
            </w:r>
          </w:p>
          <w:p>
            <w:pPr>
              <w:pStyle w:val="Compact"/>
              <w:numPr>
                <w:ilvl w:val="0"/>
                <w:numId w:val="1009"/>
              </w:numPr>
            </w:pPr>
            <w:r>
              <w:t xml:space="preserve">IMAP4</w:t>
            </w:r>
          </w:p>
          <w:p>
            <w:pPr>
              <w:pStyle w:val="Compact"/>
              <w:numPr>
                <w:ilvl w:val="0"/>
                <w:numId w:val="1009"/>
              </w:numPr>
            </w:pPr>
            <w:r>
              <w:t xml:space="preserve">Exchange</w:t>
            </w:r>
          </w:p>
        </w:tc>
      </w:tr>
      <w:tr>
        <w:tc>
          <w:tcPr/>
          <w:p>
            <w:pPr>
              <w:pStyle w:val="FirstParagraph"/>
            </w:pPr>
            <w:r>
              <w:t xml:space="preserve">Usar conexão SSL</w:t>
            </w:r>
          </w:p>
        </w:tc>
        <w:tc>
          <w:tcPr/>
          <w:p>
            <w:pPr>
              <w:pStyle w:val="BodyText"/>
            </w:pPr>
            <w:r>
              <w:t xml:space="preserve">Especifica se há um link criptografado entre o navegador e o servidor de e-mail por meio de Secure Sockets Layer.</w:t>
            </w:r>
          </w:p>
        </w:tc>
      </w:tr>
      <w:tr>
        <w:tc>
          <w:tcPr/>
          <w:p>
            <w:pPr>
              <w:pStyle w:val="BodyText"/>
            </w:pPr>
            <w:r>
              <w:t xml:space="preserve">Porta</w:t>
            </w:r>
          </w:p>
        </w:tc>
        <w:tc>
          <w:tcPr/>
          <w:p>
            <w:pPr>
              <w:pStyle w:val="BodyText"/>
            </w:pPr>
            <w:r>
              <w:t xml:space="preserve">Especifica o número da porta como o ponto periférico de comunicação para a comunicação entre o servidor de e-mail e o tipo de protocolo.</w:t>
            </w:r>
          </w:p>
        </w:tc>
      </w:tr>
      <w:tr>
        <w:tc>
          <w:tcPr/>
          <w:p>
            <w:pPr>
              <w:pStyle w:val="BodyText"/>
            </w:pPr>
            <w:r>
              <w:t xml:space="preserve">Nome da caixa de correio</w:t>
            </w:r>
          </w:p>
        </w:tc>
        <w:tc>
          <w:tcPr/>
          <w:p>
            <w:pPr>
              <w:pStyle w:val="BodyText"/>
            </w:pPr>
            <w:r>
              <w:t xml:space="preserve">(apenas para IMAP4) Especifica o nome da pasta de e-mail na qual os e-mails são recebidos, por exemplo, na caixa de entrada.</w:t>
            </w:r>
          </w:p>
        </w:tc>
      </w:tr>
      <w:tr>
        <w:tc>
          <w:tcPr/>
          <w:p>
            <w:pPr>
              <w:pStyle w:val="BodyText"/>
            </w:pPr>
            <w:r>
              <w:t xml:space="preserve">Servidor de e-mail</w:t>
            </w:r>
          </w:p>
        </w:tc>
        <w:tc>
          <w:tcPr/>
          <w:p>
            <w:pPr>
              <w:pStyle w:val="BodyText"/>
            </w:pPr>
            <w:r>
              <w:t xml:space="preserve">Especifica o nome do servidor de e-mail, por exemplo, https://usa.mailserver/mail/.</w:t>
            </w:r>
          </w:p>
        </w:tc>
      </w:tr>
      <w:tr>
        <w:tc>
          <w:tcPr/>
          <w:p>
            <w:pPr>
              <w:pStyle w:val="BodyText"/>
            </w:pPr>
            <w:r>
              <w:t xml:space="preserve">Senha</w:t>
            </w:r>
          </w:p>
        </w:tc>
        <w:tc>
          <w:tcPr/>
          <w:p>
            <w:pPr>
              <w:pStyle w:val="BodyText"/>
            </w:pPr>
            <w:r>
              <w:t xml:space="preserve">Especifica a autenticação baseada em senha. Os seguintes campos são usados para fazer autenticação:</w:t>
            </w:r>
          </w:p>
          <w:p>
            <w:pPr>
              <w:numPr>
                <w:ilvl w:val="0"/>
                <w:numId w:val="1010"/>
              </w:numPr>
            </w:pPr>
            <w:r>
              <w:t xml:space="preserve">O Nome de usuário é o nome de usuário da conta usada para fazer log-in no servidor de e-mail.</w:t>
            </w:r>
          </w:p>
          <w:p>
            <w:pPr>
              <w:numPr>
                <w:ilvl w:val="0"/>
                <w:numId w:val="1010"/>
              </w:numPr>
            </w:pPr>
            <w:r>
              <w:t xml:space="preserve">A senha é a senha da conta de usuário usada para fazer log-in no servidor de e-mail.</w:t>
            </w:r>
          </w:p>
        </w:tc>
      </w:tr>
      <w:tr>
        <w:tc>
          <w:tcPr/>
          <w:p>
            <w:pPr>
              <w:pStyle w:val="FirstParagraph"/>
            </w:pPr>
            <w:r>
              <w:t xml:space="preserve">Token</w:t>
            </w:r>
          </w:p>
        </w:tc>
        <w:tc>
          <w:tcPr/>
          <w:p>
            <w:pPr>
              <w:pStyle w:val="BodyText"/>
            </w:pPr>
            <w:r>
              <w:t xml:space="preserve">Especifica a autenticação baseada em token. Os seguintes campos são usados para fazer autenticação:</w:t>
            </w:r>
          </w:p>
          <w:p>
            <w:pPr>
              <w:numPr>
                <w:ilvl w:val="0"/>
                <w:numId w:val="1011"/>
              </w:numPr>
            </w:pPr>
            <w:r>
              <w:t xml:space="preserve">O ID do client é o ID do client Azure.</w:t>
            </w:r>
          </w:p>
          <w:p>
            <w:pPr>
              <w:numPr>
                <w:ilvl w:val="0"/>
                <w:numId w:val="1011"/>
              </w:numPr>
            </w:pPr>
            <w:r>
              <w:t xml:space="preserve">O Endpoint do token é o endpoint do token Azure.</w:t>
            </w:r>
          </w:p>
          <w:p>
            <w:pPr>
              <w:numPr>
                <w:ilvl w:val="0"/>
                <w:numId w:val="1011"/>
              </w:numPr>
            </w:pPr>
            <w:r>
              <w:t xml:space="preserve">A Senha do client é o valor do segredo Azure do aplicativo.</w:t>
            </w:r>
          </w:p>
          <w:p>
            <w:pPr>
              <w:numPr>
                <w:ilvl w:val="0"/>
                <w:numId w:val="1011"/>
              </w:numPr>
            </w:pPr>
            <w:r>
              <w:t xml:space="preserve">O Token de atualização é o token exigido pelo servidor de autorização para acessar seu aplicativo. Por exemplo, você pode gerar o token de atualização usando Postman.</w:t>
            </w:r>
          </w:p>
        </w:tc>
      </w:tr>
      <w:tr>
        <w:tc>
          <w:tcPr/>
          <w:p>
            <w:pPr>
              <w:pStyle w:val="FirstParagraph"/>
            </w:pPr>
            <w:r>
              <w:t xml:space="preserve">Dados da mensagem a ser recuperada</w:t>
            </w:r>
          </w:p>
        </w:tc>
        <w:tc>
          <w:tcPr/>
          <w:p>
            <w:pPr>
              <w:pStyle w:val="BodyText"/>
            </w:pPr>
            <w:r>
              <w:t xml:space="preserve">Especifica se os campos de e-mail padrão ou o corpo da mensagem contém os dados recuperados do e-mail.</w:t>
            </w:r>
          </w:p>
          <w:p>
            <w:pPr>
              <w:pStyle w:val="Compact"/>
              <w:numPr>
                <w:ilvl w:val="0"/>
                <w:numId w:val="1012"/>
              </w:numPr>
            </w:pPr>
            <w:r>
              <w:t xml:space="preserve">Todos os campos da mensagem: Campos básicos como Para, De, Cc, Data, Assunto, Corpo de texto, Corpo HTML, Caminho de retorno, Versão MIME e ID da mensagem.</w:t>
            </w:r>
          </w:p>
          <w:p>
            <w:pPr>
              <w:pStyle w:val="Compact"/>
              <w:numPr>
                <w:ilvl w:val="0"/>
                <w:numId w:val="1012"/>
              </w:numPr>
            </w:pPr>
            <w:r>
              <w:t xml:space="preserve">Use somente o corpo da mensagem ou uma transformação personalizada para processar dados XML no corpo do e-mail.</w:t>
            </w:r>
          </w:p>
        </w:tc>
      </w:tr>
      <w:tr>
        <w:tc>
          <w:tcPr/>
          <w:p>
            <w:pPr>
              <w:pStyle w:val="FirstParagraph"/>
            </w:pPr>
            <w:r>
              <w:t xml:space="preserve">Filtro</w:t>
            </w:r>
          </w:p>
        </w:tc>
        <w:tc>
          <w:tcPr/>
          <w:p>
            <w:pPr>
              <w:pStyle w:val="BodyText"/>
            </w:pPr>
            <w:r>
              <w:t xml:space="preserve">Especifica os filtros para recuperação de dados da mensagem de e-mail. Um filtro permite a verificação de qualquer campo de cabeçalho ou do corpo. Exemplos:</w:t>
            </w:r>
          </w:p>
          <w:p>
            <w:pPr>
              <w:pStyle w:val="Compact"/>
              <w:numPr>
                <w:ilvl w:val="0"/>
                <w:numId w:val="1013"/>
              </w:numPr>
            </w:pPr>
            <w:r>
              <w:t xml:space="preserve">Corpo como "taxas de hipoteca*"</w:t>
            </w:r>
          </w:p>
          <w:p>
            <w:pPr>
              <w:pStyle w:val="Compact"/>
              <w:numPr>
                <w:ilvl w:val="0"/>
                <w:numId w:val="1013"/>
              </w:numPr>
            </w:pPr>
            <w:r>
              <w:t xml:space="preserve">Para = "bankrates@abc.com"</w:t>
            </w:r>
          </w:p>
          <w:p>
            <w:pPr>
              <w:pStyle w:val="FirstParagraph"/>
            </w:pPr>
            <w:r>
              <w:t xml:space="preserve">A seguir estão as regras gerais para a formação de expressões de filtro:</w:t>
            </w:r>
          </w:p>
          <w:p>
            <w:pPr>
              <w:pStyle w:val="Compact"/>
              <w:numPr>
                <w:ilvl w:val="0"/>
                <w:numId w:val="1014"/>
              </w:numPr>
            </w:pPr>
            <w:r>
              <w:t xml:space="preserve">Usar qualquer campo de cabeçalho MIME (Multipurpose Internet Mail Extension) (não distingue maiúsculas de minúsculas).</w:t>
            </w:r>
          </w:p>
          <w:p>
            <w:pPr>
              <w:pStyle w:val="Compact"/>
              <w:numPr>
                <w:ilvl w:val="0"/>
                <w:numId w:val="1014"/>
              </w:numPr>
            </w:pPr>
            <w:r>
              <w:t xml:space="preserve">Colocar sequências de caracteres literais entre aspas duplas (não distingue maiúsculas de minúsculas).</w:t>
            </w:r>
          </w:p>
          <w:p>
            <w:pPr>
              <w:pStyle w:val="Compact"/>
              <w:numPr>
                <w:ilvl w:val="0"/>
                <w:numId w:val="1014"/>
              </w:numPr>
            </w:pPr>
            <w:r>
              <w:t xml:space="preserve">Corresponder o caractere curinga * a zero ou mais ocorrências de qualquer caractere.</w:t>
            </w:r>
          </w:p>
          <w:p>
            <w:pPr>
              <w:pStyle w:val="Compact"/>
              <w:numPr>
                <w:ilvl w:val="0"/>
                <w:numId w:val="1014"/>
              </w:numPr>
            </w:pPr>
            <w:r>
              <w:t xml:space="preserve">Incluir parênteses para controlar a precedência.</w:t>
            </w:r>
          </w:p>
          <w:p>
            <w:pPr>
              <w:pStyle w:val="Compact"/>
              <w:numPr>
                <w:ilvl w:val="0"/>
                <w:numId w:val="1014"/>
              </w:numPr>
            </w:pPr>
            <w:r>
              <w:t xml:space="preserve">Usar os operadores lógicos AND, OR e NOT (não distingue maiúsculas de minúsculas).</w:t>
            </w:r>
          </w:p>
          <w:p>
            <w:pPr>
              <w:pStyle w:val="Compact"/>
              <w:numPr>
                <w:ilvl w:val="0"/>
                <w:numId w:val="1014"/>
              </w:numPr>
            </w:pPr>
            <w:r>
              <w:t xml:space="preserve">Usar os operadores de comparação =, &lt;, &gt;, &lt; =, &gt; = e &lt; &gt;.</w:t>
            </w:r>
          </w:p>
          <w:p>
            <w:pPr>
              <w:pStyle w:val="Compact"/>
              <w:numPr>
                <w:ilvl w:val="0"/>
                <w:numId w:val="1014"/>
              </w:numPr>
            </w:pPr>
            <w:r>
              <w:t xml:space="preserve">Usar os operadores de comparação de strings CONTAINS, LIKE (não distingue maiúsculas de minúsculas).</w:t>
            </w:r>
          </w:p>
        </w:tc>
      </w:tr>
    </w:tbl>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pStyle w:val="Compact"/>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24"/>
    <w:bookmarkStart w:id="25" w:name="Tarefa3DefinaoformatoXMLdosdadosdeorigem"/>
    <w:p>
      <w:pPr>
        <w:pStyle w:val="Heading2"/>
      </w:pPr>
      <w:r>
        <w:t xml:space="preserve">Tarefa 3: Defina o formato XML dos dados de origem</w:t>
      </w:r>
    </w:p>
    <w:p>
      <w:pPr>
        <w:pStyle w:val="FirstParagraph"/>
      </w:pPr>
      <w:r>
        <w:t xml:space="preserve">Use esta tarefa para transformar a estrutura XML do arquivo de origem.</w:t>
      </w:r>
    </w:p>
    <w:p>
      <w:pPr>
        <w:pStyle w:val="Compact"/>
        <w:numPr>
          <w:ilvl w:val="0"/>
          <w:numId w:val="1019"/>
        </w:numPr>
      </w:pPr>
      <w:r>
        <w:t xml:space="preserve">Vá para a guia Análise de origem do feed de dados.</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25"/>
    <w:bookmarkStart w:id="29"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6" w:name="Opçõesdedados"/>
    <w:p>
      <w:pPr>
        <w:pStyle w:val="Heading3"/>
      </w:pPr>
      <w:r>
        <w:t xml:space="preserve">Opções de dados</w:t>
      </w:r>
    </w:p>
    <w:p>
      <w:pPr>
        <w:pStyle w:val="Compact"/>
        <w:numPr>
          <w:ilvl w:val="0"/>
          <w:numId w:val="1023"/>
        </w:numPr>
      </w:pPr>
      <w:r>
        <w:t xml:space="preserve">Importe os dados de origem usando seu formato atual para</w:t>
      </w:r>
      <w:r>
        <w:t xml:space="preserve"> </w:t>
      </w:r>
      <w:r>
        <w:t xml:space="preserve">Archer</w:t>
      </w:r>
      <w:r>
        <w:t xml:space="preserve">.</w:t>
      </w:r>
    </w:p>
    <w:p>
      <w:pPr>
        <w:pStyle w:val="Compact"/>
        <w:numPr>
          <w:ilvl w:val="0"/>
          <w:numId w:val="1023"/>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3"/>
        </w:numPr>
      </w:pPr>
      <w:r>
        <w:t xml:space="preserve">Use a guia Filtro de origem para importar apenas alguns registros para o aplicativo ou questionário de destino.</w:t>
      </w:r>
    </w:p>
    <w:p>
      <w:pPr>
        <w:pStyle w:val="Compact"/>
        <w:numPr>
          <w:ilvl w:val="1"/>
          <w:numId w:val="1024"/>
        </w:numPr>
      </w:pPr>
      <w:r>
        <w:t xml:space="preserve">Deixe os valores do campo em branco para retornar todos os registros dos dados de origem.</w:t>
      </w:r>
    </w:p>
    <w:p>
      <w:pPr>
        <w:pStyle w:val="Compact"/>
        <w:numPr>
          <w:ilvl w:val="1"/>
          <w:numId w:val="1024"/>
        </w:numPr>
      </w:pPr>
      <w:r>
        <w:t xml:space="preserve">Insira os valores dos campos e use a Lógica de operador avançado para retornar apenas registros específicos dos dados de origem.</w:t>
      </w:r>
    </w:p>
    <w:p>
      <w:pPr>
        <w:pStyle w:val="Compact"/>
        <w:numPr>
          <w:ilvl w:val="0"/>
          <w:numId w:val="1023"/>
        </w:numPr>
      </w:pPr>
      <w:r>
        <w:t xml:space="preserve">Capture tokens de dados da última execução de um feed de dados para configurar a próxima execução do feed de dados.</w:t>
      </w:r>
    </w:p>
    <w:bookmarkEnd w:id="26"/>
    <w:bookmarkStart w:id="28" w:name="Processo"/>
    <w:p>
      <w:pPr>
        <w:pStyle w:val="Heading3"/>
      </w:pPr>
      <w:r>
        <w:t xml:space="preserve">Processo</w:t>
      </w:r>
    </w:p>
    <w:p>
      <w:pPr>
        <w:numPr>
          <w:ilvl w:val="0"/>
          <w:numId w:val="1025"/>
        </w:numPr>
      </w:pPr>
      <w:r>
        <w:t xml:space="preserve">Vá para a guia Definição de origem &gt; guia Dados de origem</w:t>
      </w:r>
    </w:p>
    <w:p>
      <w:pPr>
        <w:pStyle w:val="Compact"/>
        <w:numPr>
          <w:ilvl w:val="0"/>
          <w:numId w:val="1025"/>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25"/>
        </w:numPr>
      </w:pPr>
      <w:r>
        <w:t xml:space="preserve">Digite um nome de campo de origem.</w:t>
      </w:r>
    </w:p>
    <w:p>
      <w:pPr>
        <w:pStyle w:val="Compact"/>
        <w:numPr>
          <w:ilvl w:val="0"/>
          <w:numId w:val="1025"/>
        </w:numPr>
      </w:pPr>
      <w:r>
        <w:t xml:space="preserve">Na lista, selecione um Tipo de campo.</w:t>
      </w:r>
    </w:p>
    <w:p>
      <w:pPr>
        <w:numPr>
          <w:ilvl w:val="0"/>
          <w:numId w:val="1025"/>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7">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25"/>
        </w:numPr>
      </w:pPr>
      <w:r>
        <w:t xml:space="preserve">Clique em Adicionar novo.</w:t>
      </w:r>
    </w:p>
    <w:p>
      <w:pPr>
        <w:numPr>
          <w:ilvl w:val="0"/>
          <w:numId w:val="1025"/>
        </w:numPr>
      </w:pPr>
      <w:r>
        <w:t xml:space="preserve">Execute um destes procedimentos:</w:t>
      </w:r>
    </w:p>
    <w:p>
      <w:pPr>
        <w:pStyle w:val="Compact"/>
        <w:numPr>
          <w:ilvl w:val="1"/>
          <w:numId w:val="1026"/>
        </w:numPr>
      </w:pPr>
      <w:r>
        <w:t xml:space="preserve">Para continuar configurando o feed de dados, vá para a próxima tarefa.</w:t>
      </w:r>
    </w:p>
    <w:p>
      <w:pPr>
        <w:pStyle w:val="Compact"/>
        <w:numPr>
          <w:ilvl w:val="1"/>
          <w:numId w:val="1026"/>
        </w:numPr>
      </w:pPr>
      <w:r>
        <w:t xml:space="preserve">Para terminar de configurar o feed mais tarde, clique em Salvar ou Salvar e fechar.</w:t>
      </w:r>
    </w:p>
    <w:bookmarkEnd w:id="28"/>
    <w:bookmarkEnd w:id="29"/>
    <w:bookmarkStart w:id="30"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7"/>
        </w:numPr>
      </w:pPr>
      <w:r>
        <w:t xml:space="preserve">Feeds de dados de Archer para Archer: Não use essa opção. É recomendável filtrar os dados de relatório.</w:t>
      </w:r>
    </w:p>
    <w:p>
      <w:pPr>
        <w:numPr>
          <w:ilvl w:val="0"/>
          <w:numId w:val="1027"/>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7"/>
        </w:numPr>
      </w:pPr>
      <w:r>
        <w:t xml:space="preserve">Feeds de dados de monitoramento de e-mails: é recomendável filtrar o e-mail definindo filtros na guia Definição de origem.</w:t>
      </w:r>
    </w:p>
    <w:p>
      <w:pPr>
        <w:numPr>
          <w:ilvl w:val="0"/>
          <w:numId w:val="1028"/>
        </w:numPr>
      </w:pPr>
      <w:r>
        <w:t xml:space="preserve">Vá para a guia Definição de origem &gt; guia Filtro de origem</w:t>
      </w:r>
    </w:p>
    <w:p>
      <w:pPr>
        <w:numPr>
          <w:ilvl w:val="0"/>
          <w:numId w:val="1028"/>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9"/>
        </w:numPr>
      </w:pPr>
      <w:r>
        <w:t xml:space="preserve">Se o campo A tiver um campo filho B, que tem um campo filho C, uma vez que o campo B tem um campo filho C, você não pode filtrar pelo campo A.</w:t>
      </w:r>
    </w:p>
    <w:p>
      <w:pPr>
        <w:numPr>
          <w:ilvl w:val="1"/>
          <w:numId w:val="1029"/>
        </w:numPr>
      </w:pPr>
      <w:r>
        <w:t xml:space="preserve">Se o campo A tiver um campo filho B, mas o campo B não tiver nenhum campo filho, você poderá filtrar pelo campo A.</w:t>
      </w:r>
    </w:p>
    <w:p>
      <w:pPr>
        <w:pStyle w:val="Compact"/>
        <w:numPr>
          <w:ilvl w:val="0"/>
          <w:numId w:val="1028"/>
        </w:numPr>
      </w:pPr>
      <w:r>
        <w:t xml:space="preserve">Na lista Nome do campo, selecione o nome do campo da fonte de dados à qual deseja aplicar um filtro.</w:t>
      </w:r>
    </w:p>
    <w:p>
      <w:pPr>
        <w:pStyle w:val="Compact"/>
        <w:numPr>
          <w:ilvl w:val="0"/>
          <w:numId w:val="1028"/>
        </w:numPr>
      </w:pPr>
      <w:r>
        <w:t xml:space="preserve">Na lista Operador, selecione um operador para definir qual tipo de filtro deseja aplicar aos dados de origem.</w:t>
      </w:r>
    </w:p>
    <w:p>
      <w:pPr>
        <w:pStyle w:val="Compact"/>
        <w:numPr>
          <w:ilvl w:val="0"/>
          <w:numId w:val="1028"/>
        </w:numPr>
      </w:pPr>
      <w:r>
        <w:t xml:space="preserve">Na coluna Valores, informe um valor baseado na seleção feita na coluna Operador.</w:t>
      </w:r>
    </w:p>
    <w:p>
      <w:pPr>
        <w:pStyle w:val="Compact"/>
        <w:numPr>
          <w:ilvl w:val="0"/>
          <w:numId w:val="1028"/>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8"/>
        </w:numPr>
      </w:pPr>
      <w:r>
        <w:t xml:space="preserve">Execute uma das seguintes tarefas opcionais:</w:t>
      </w:r>
    </w:p>
    <w:p>
      <w:pPr>
        <w:pStyle w:val="Compact"/>
        <w:numPr>
          <w:ilvl w:val="1"/>
          <w:numId w:val="1030"/>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0"/>
        </w:numPr>
      </w:pPr>
      <w:r>
        <w:t xml:space="preserve">Para remover um filtro de dados, na coluna Ações do filtro que você deseja remover, clique em</w:t>
      </w:r>
      <w:r>
        <w:t xml:space="preserve"> </w:t>
      </w:r>
      <w:r>
        <w:t xml:space="preserve">Remover</w:t>
      </w:r>
      <w:r>
        <w:t xml:space="preserve">.</w:t>
      </w:r>
    </w:p>
    <w:p>
      <w:pPr>
        <w:numPr>
          <w:ilvl w:val="0"/>
          <w:numId w:val="1028"/>
        </w:numPr>
      </w:pPr>
      <w:r>
        <w:t xml:space="preserve">Execute um destes procedimentos:</w:t>
      </w:r>
    </w:p>
    <w:p>
      <w:pPr>
        <w:pStyle w:val="Compact"/>
        <w:numPr>
          <w:ilvl w:val="1"/>
          <w:numId w:val="1031"/>
        </w:numPr>
      </w:pPr>
      <w:r>
        <w:t xml:space="preserve">Para continuar configurando o feed de dados, vá para a próxima tarefa.</w:t>
      </w:r>
    </w:p>
    <w:p>
      <w:pPr>
        <w:pStyle w:val="Compact"/>
        <w:numPr>
          <w:ilvl w:val="1"/>
          <w:numId w:val="1031"/>
        </w:numPr>
      </w:pPr>
      <w:r>
        <w:t xml:space="preserve">Para terminar de configurar o feed mais tarde, clique em Salvar ou Salvar e fechar.</w:t>
      </w:r>
    </w:p>
    <w:bookmarkEnd w:id="30"/>
    <w:bookmarkStart w:id="31" w:name="Xec703caeb69b5ae2b49d83d8a9467610a802b75"/>
    <w:p>
      <w:pPr>
        <w:pStyle w:val="Heading2"/>
      </w:pPr>
      <w:r>
        <w:t xml:space="preserve">Tarefa 6: Associar os campos de origem aos campos de destino</w:t>
      </w:r>
    </w:p>
    <w:p>
      <w:pPr>
        <w:numPr>
          <w:ilvl w:val="0"/>
          <w:numId w:val="1032"/>
        </w:numPr>
      </w:pPr>
      <w:r>
        <w:t xml:space="preserve">Vá para a guia Mapa de dados &gt; guia Mapa de campo.</w:t>
      </w:r>
    </w:p>
    <w:p>
      <w:pPr>
        <w:pStyle w:val="Compact"/>
        <w:numPr>
          <w:ilvl w:val="0"/>
          <w:numId w:val="1032"/>
        </w:numPr>
      </w:pPr>
      <w:r>
        <w:t xml:space="preserve">Associe o campo de origem ao aplicativo ou ao questionário aplicável. Execute um destes procedimentos:</w:t>
      </w:r>
    </w:p>
    <w:p>
      <w:pPr>
        <w:numPr>
          <w:ilvl w:val="1"/>
          <w:numId w:val="1033"/>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33"/>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2"/>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32"/>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2"/>
        </w:numPr>
      </w:pPr>
      <w:r>
        <w:t xml:space="preserve">(Opcional) Realize uma ou mais das seguintes ações:</w:t>
      </w:r>
    </w:p>
    <w:p>
      <w:pPr>
        <w:pStyle w:val="Compact"/>
        <w:numPr>
          <w:ilvl w:val="1"/>
          <w:numId w:val="1034"/>
        </w:numPr>
      </w:pPr>
      <w:r>
        <w:t xml:space="preserve">Para excluir um mapeamento para um único campo, na coluna Ações, clique em</w:t>
      </w:r>
      <w:r>
        <w:t xml:space="preserve"> </w:t>
      </w:r>
      <w:r>
        <w:t xml:space="preserve">Excluir</w:t>
      </w:r>
      <w:r>
        <w:t xml:space="preserve">.</w:t>
      </w:r>
    </w:p>
    <w:p>
      <w:pPr>
        <w:pStyle w:val="Compact"/>
        <w:numPr>
          <w:ilvl w:val="1"/>
          <w:numId w:val="1034"/>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2"/>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1"/>
    <w:bookmarkStart w:id="32"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6"/>
        </w:numPr>
      </w:pPr>
      <w:r>
        <w:t xml:space="preserve">Vá para a guia Mapa de dados &gt; guia Definição de campo de chave.</w:t>
      </w:r>
    </w:p>
    <w:p>
      <w:pPr>
        <w:numPr>
          <w:ilvl w:val="0"/>
          <w:numId w:val="1036"/>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6"/>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6"/>
        </w:numPr>
      </w:pPr>
      <w:r>
        <w:t xml:space="preserve">No campo Nome do campo, selecione um campo do aplicativo ou questionário de destino que identifique exclusivamente o registro.</w:t>
      </w:r>
    </w:p>
    <w:p>
      <w:pPr>
        <w:pStyle w:val="Compact"/>
        <w:numPr>
          <w:ilvl w:val="0"/>
          <w:numId w:val="1036"/>
        </w:numPr>
      </w:pPr>
      <w:r>
        <w:t xml:space="preserve">(Opcional) Atribua teclas de combinação para o registro. Faça o seguinte:</w:t>
      </w:r>
    </w:p>
    <w:p>
      <w:pPr>
        <w:pStyle w:val="Compact"/>
        <w:numPr>
          <w:ilvl w:val="1"/>
          <w:numId w:val="1037"/>
        </w:numPr>
      </w:pPr>
      <w:r>
        <w:t xml:space="preserve">Na coluna Ações, clique em</w:t>
      </w:r>
      <w:r>
        <w:t xml:space="preserve"> </w:t>
      </w:r>
      <w:r>
        <w:t xml:space="preserve">Adicionar</w:t>
      </w:r>
      <w:r>
        <w:t xml:space="preserve">.</w:t>
      </w:r>
    </w:p>
    <w:p>
      <w:pPr>
        <w:pStyle w:val="Compact"/>
        <w:numPr>
          <w:ilvl w:val="1"/>
          <w:numId w:val="1037"/>
        </w:numPr>
      </w:pPr>
      <w:r>
        <w:t xml:space="preserve">No campo Nome do campo, selecione um campo.</w:t>
      </w:r>
    </w:p>
    <w:p>
      <w:pPr>
        <w:numPr>
          <w:ilvl w:val="0"/>
          <w:numId w:val="1036"/>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6"/>
        </w:numPr>
      </w:pPr>
      <w:r>
        <w:t xml:space="preserve">Na coluna Operador, selecione a opção aplicável para os critérios de correspondência da chave simples.</w:t>
      </w:r>
    </w:p>
    <w:p>
      <w:pPr>
        <w:numPr>
          <w:ilvl w:val="0"/>
          <w:numId w:val="1036"/>
        </w:numPr>
      </w:pPr>
      <w:r>
        <w:t xml:space="preserve">Execute um destes procedimentos:</w:t>
      </w:r>
    </w:p>
    <w:p>
      <w:pPr>
        <w:pStyle w:val="Compact"/>
        <w:numPr>
          <w:ilvl w:val="1"/>
          <w:numId w:val="1038"/>
        </w:numPr>
      </w:pPr>
      <w:r>
        <w:t xml:space="preserve">Para continuar configurando o feed de dados, vá para a próxima tarefa.</w:t>
      </w:r>
    </w:p>
    <w:p>
      <w:pPr>
        <w:pStyle w:val="Compact"/>
        <w:numPr>
          <w:ilvl w:val="1"/>
          <w:numId w:val="1038"/>
        </w:numPr>
      </w:pPr>
      <w:r>
        <w:t xml:space="preserve">Para terminar de configurar o feed mais tarde, clique em Salvar ou Salvar e fechar.</w:t>
      </w:r>
    </w:p>
    <w:bookmarkEnd w:id="32"/>
    <w:bookmarkStart w:id="33"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9"/>
        </w:numPr>
      </w:pPr>
      <w:r>
        <w:t xml:space="preserve">Vá para a guia Executar a configuração &gt; seção Agendamento.</w:t>
      </w:r>
    </w:p>
    <w:p>
      <w:pPr>
        <w:numPr>
          <w:ilvl w:val="0"/>
          <w:numId w:val="1039"/>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0"/>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0"/>
              </w:numPr>
            </w:pPr>
            <w:r>
              <w:t xml:space="preserve">A cada hora. Executa o feed de dados conforme o intervalo definido, por exemplo, a cada hora (1), em horas alternadas (2) etc.</w:t>
            </w:r>
          </w:p>
          <w:p>
            <w:pPr>
              <w:pStyle w:val="Compact"/>
              <w:numPr>
                <w:ilvl w:val="0"/>
                <w:numId w:val="1040"/>
              </w:numPr>
            </w:pPr>
            <w:r>
              <w:t xml:space="preserve">Diariamente. Executa o feed de dados conforme o intervalo definido, por exemplo, todos os dias (1), em dias alternados (2) etc.</w:t>
            </w:r>
          </w:p>
          <w:p>
            <w:pPr>
              <w:pStyle w:val="Compact"/>
              <w:numPr>
                <w:ilvl w:val="0"/>
                <w:numId w:val="1040"/>
              </w:numPr>
            </w:pPr>
            <w:r>
              <w:t xml:space="preserve">Semanalmente. Executa o feed de dados com base em um dia especificado da semana, por exemplo, quinzenalmente às segundas-feiras (2), a cada três segundas-feiras (3) etc.</w:t>
            </w:r>
          </w:p>
          <w:p>
            <w:pPr>
              <w:pStyle w:val="Compact"/>
              <w:numPr>
                <w:ilvl w:val="0"/>
                <w:numId w:val="1040"/>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9"/>
        </w:numPr>
      </w:pPr>
      <w:r>
        <w:t xml:space="preserve">Para salvar o feed de dados, clique em Salvar ou Salvar e fechar.</w:t>
      </w:r>
    </w:p>
    <w:p>
      <w:pPr>
        <w:numPr>
          <w:ilvl w:val="0"/>
          <w:numId w:val="1039"/>
        </w:numPr>
      </w:pPr>
      <w:r>
        <w:t xml:space="preserve">Execute um destes procedimentos:</w:t>
      </w:r>
    </w:p>
    <w:p>
      <w:pPr>
        <w:pStyle w:val="Compact"/>
        <w:numPr>
          <w:ilvl w:val="1"/>
          <w:numId w:val="1041"/>
        </w:numPr>
      </w:pPr>
      <w:r>
        <w:t xml:space="preserve">Para continuar configurando o feed de dados, vá para a próxima tarefa.</w:t>
      </w:r>
    </w:p>
    <w:p>
      <w:pPr>
        <w:pStyle w:val="Compact"/>
        <w:numPr>
          <w:ilvl w:val="1"/>
          <w:numId w:val="1041"/>
        </w:numPr>
      </w:pPr>
      <w:r>
        <w:t xml:space="preserve">Para terminar de configurar o feed mais tarde, clique em Salvar ou Salvar e fechar.</w:t>
      </w:r>
    </w:p>
    <w:bookmarkEnd w:id="33"/>
    <w:bookmarkStart w:id="34" w:name="Tarefa9Definirtokensdedados"/>
    <w:p>
      <w:pPr>
        <w:pStyle w:val="Heading2"/>
      </w:pPr>
      <w:r>
        <w:t xml:space="preserve">Tarefa 9: Definir tokens de dados</w:t>
      </w:r>
    </w:p>
    <w:p>
      <w:pPr>
        <w:pStyle w:val="Compact"/>
        <w:numPr>
          <w:ilvl w:val="0"/>
          <w:numId w:val="1042"/>
        </w:numPr>
      </w:pPr>
      <w:r>
        <w:t xml:space="preserve">Vá para a guia Executar a configuração &gt; seção Agendamento.</w:t>
      </w:r>
    </w:p>
    <w:p>
      <w:pPr>
        <w:pStyle w:val="Compact"/>
        <w:numPr>
          <w:ilvl w:val="0"/>
          <w:numId w:val="1042"/>
        </w:numPr>
      </w:pPr>
      <w:r>
        <w:t xml:space="preserve">(Opcional) Clique em</w:t>
      </w:r>
      <w:r>
        <w:t xml:space="preserve"> </w:t>
      </w:r>
      <w:r>
        <w:t xml:space="preserve">Adicionar</w:t>
      </w:r>
      <w:r>
        <w:t xml:space="preserve"> </w:t>
      </w:r>
      <w:r>
        <w:t xml:space="preserve">para adicionar um token adicional.</w:t>
      </w:r>
    </w:p>
    <w:p>
      <w:pPr>
        <w:pStyle w:val="Compact"/>
        <w:numPr>
          <w:ilvl w:val="0"/>
          <w:numId w:val="1042"/>
        </w:numPr>
      </w:pPr>
      <w:r>
        <w:t xml:space="preserve">No campo Valor do token que você deseja modificar, informe o valor atualizado.</w:t>
      </w:r>
    </w:p>
    <w:p>
      <w:pPr>
        <w:pStyle w:val="Compact"/>
        <w:numPr>
          <w:ilvl w:val="0"/>
          <w:numId w:val="1042"/>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42"/>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4"/>
    <w:bookmarkStart w:id="35"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44"/>
        </w:numPr>
      </w:pPr>
      <w:r>
        <w:t xml:space="preserve">Vá para a guia Executar a configuração &gt; seção Processamento de registro de destino.</w:t>
      </w:r>
    </w:p>
    <w:p>
      <w:pPr>
        <w:pStyle w:val="Compact"/>
        <w:numPr>
          <w:ilvl w:val="0"/>
          <w:numId w:val="1044"/>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44"/>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45"/>
              </w:numPr>
            </w:pPr>
            <w:r>
              <w:t xml:space="preserve">Nível 3 ou inferior em um aplicativo em níveis.</w:t>
            </w:r>
          </w:p>
          <w:p>
            <w:pPr>
              <w:pStyle w:val="Compact"/>
              <w:numPr>
                <w:ilvl w:val="0"/>
                <w:numId w:val="1045"/>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5"/>
    <w:bookmarkStart w:id="36"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7"/>
        </w:numPr>
      </w:pPr>
      <w:r>
        <w:t xml:space="preserve">Vá para a guia Executar a configuração &gt; seção Pós-processamento.</w:t>
      </w:r>
    </w:p>
    <w:p>
      <w:pPr>
        <w:numPr>
          <w:ilvl w:val="0"/>
          <w:numId w:val="1047"/>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7"/>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8"/>
              </w:numPr>
            </w:pPr>
            <w:r>
              <w:t xml:space="preserve">Todos os status - Sucesso, aviso e falha</w:t>
            </w:r>
          </w:p>
          <w:p>
            <w:pPr>
              <w:numPr>
                <w:ilvl w:val="0"/>
                <w:numId w:val="1048"/>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7"/>
        </w:numPr>
      </w:pPr>
      <w:r>
        <w:t xml:space="preserve">Para salvar o feed de dados, clique em Salvar ou Salvar e fechar.</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2025-02-19T20:14:57Z</dcterms:created>
  <dcterms:modified xsi:type="dcterms:W3CDTF">2025-02-19T20:14:57Z</dcterms:modified>
</cp:coreProperties>
</file>

<file path=docProps/custom.xml><?xml version="1.0" encoding="utf-8"?>
<Properties xmlns="http://schemas.openxmlformats.org/officeDocument/2006/custom-properties" xmlns:vt="http://schemas.openxmlformats.org/officeDocument/2006/docPropsVTypes"/>
</file>