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5b162c3de8971a42b61065bdcc30028ac2e2c59"/>
    <w:p>
      <w:pPr>
        <w:pStyle w:val="Heading1"/>
      </w:pPr>
      <w:bookmarkStart w:id="20" w:name="aanchor164"/>
      <w:bookmarkEnd w:id="20"/>
      <w:r>
        <w:t xml:space="preserve"> </w:t>
      </w:r>
      <w:r>
        <w:t xml:space="preserve">Adicionando feeds de dados de monitoramento de e-mails do tipo Somente transporte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Conclua as seguintes tarefas para adicionar um feeds de dados de monitoramento de e-mails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31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15099" cy="115099"/>
            <wp:effectExtent b="0" l="0" r="0" t="0"/>
            <wp:docPr descr="Adicionar" title="Adicionar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ffd38131be509efd9502a60f316d92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drawing>
          <wp:inline>
            <wp:extent cx="269507" cy="231006"/>
            <wp:effectExtent b="0" l="0" r="0" t="0"/>
            <wp:docPr descr="Selecion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5f41aba762f45a96a44007145ed5a8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30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31"/>
    <w:bookmarkStart w:id="33" w:name="Tarefa2Definirométododetransporte"/>
    <w:p>
      <w:pPr>
        <w:pStyle w:val="Heading2"/>
      </w:pPr>
      <w:r>
        <w:t xml:space="preserve">Tarefa 2: Definir o método de transporte</w:t>
      </w:r>
    </w:p>
    <w:p>
      <w:pPr>
        <w:pStyle w:val="Compact"/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digite as propriedade e as credencias do servidor de e-mail.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Especifica qual protocolo recupera e-mails de seu servidor de e-mail.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POP3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IMAP4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Exchange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Usar conexão SSL</w:t>
            </w:r>
          </w:p>
        </w:tc>
        <w:tc>
          <w:tcPr/>
          <w:p>
            <w:pPr>
              <w:pStyle w:val="BodyText"/>
            </w:pPr>
            <w:r>
              <w:t xml:space="preserve">Especifica se há um link criptografado entre o navegador e o servidor de e-mail por meio de Secure Sockets Layer.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Porta</w:t>
            </w:r>
          </w:p>
        </w:tc>
        <w:tc>
          <w:tcPr/>
          <w:p>
            <w:pPr>
              <w:pStyle w:val="BodyText"/>
            </w:pPr>
            <w:r>
              <w:t xml:space="preserve">Especifica o número da porta como o ponto periférico de comunicação para a comunicação entre o servidor de e-mail e o tipo de protocolo.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caixa de correio</w:t>
            </w:r>
          </w:p>
        </w:tc>
        <w:tc>
          <w:tcPr/>
          <w:p>
            <w:pPr>
              <w:pStyle w:val="BodyText"/>
            </w:pPr>
            <w:r>
              <w:t xml:space="preserve">(apenas para IMAP4) Especifica o nome da pasta de e-mail na qual os e-mails são recebidos, por exemplo, na caixa de entrada.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Servidor de e-mail</w:t>
            </w:r>
          </w:p>
        </w:tc>
        <w:tc>
          <w:tcPr/>
          <w:p>
            <w:pPr>
              <w:pStyle w:val="BodyText"/>
            </w:pPr>
            <w:r>
              <w:t xml:space="preserve">Especifica o nome do servidor de e-mail, por exemplo, https://usa.mailserver/mail/.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autenticação baseada em senha. Os seguintes campos são usados para fazer autenticação: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O Nome de usuário é o nome de usuário da conta usada para fazer log-in no servidor de e-mail.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A senha é a senha da conta de usuário usada para fazer log-in no servidor de e-mail.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Token</w:t>
            </w:r>
          </w:p>
        </w:tc>
        <w:tc>
          <w:tcPr/>
          <w:p>
            <w:pPr>
              <w:pStyle w:val="BodyText"/>
            </w:pPr>
            <w:r>
              <w:t xml:space="preserve">Especifica a autenticação baseada em token. Os seguintes campos são usados para fazer autenticação: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ID do client é o ID do client Azure.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Endpoint do token é o endpoint do token Azure.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A Senha do client é o valor do segredo Azure do aplicativo.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Token de atualização é o token exigido pelo servidor de autorização para acessar seu aplicativo. Por exemplo, você pode gerar o token de atualização usando Postman.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Dados da mensagem a ser recuperada</w:t>
            </w:r>
          </w:p>
        </w:tc>
        <w:tc>
          <w:tcPr/>
          <w:p>
            <w:pPr>
              <w:pStyle w:val="BodyText"/>
            </w:pPr>
            <w:r>
              <w:t xml:space="preserve">Especifica se os campos de e-mail padrão ou o corpo da mensagem contém os dados recuperados do e-mail.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Todos os campos da mensagem: Campos básicos como Para, De, Cc, Data, Assunto, Corpo de texto, Corpo HTML, Caminho de retorno, Versão MIME e ID da mensagem.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Use somente o corpo da mensagem ou uma transformação personalizada para processar dados XML no corpo do e-mail.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Filtro</w:t>
            </w:r>
          </w:p>
        </w:tc>
        <w:tc>
          <w:tcPr/>
          <w:p>
            <w:pPr>
              <w:pStyle w:val="BodyText"/>
            </w:pPr>
            <w:r>
              <w:t xml:space="preserve">Especifica os filtros para recuperação de dados da mensagem de e-mail. Um filtro permite a verificação de qualquer campo de cabeçalho ou do corpo. Exemplos: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Corpo como "taxas de hipoteca*"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= "bankrates@abc.com"</w:t>
            </w:r>
          </w:p>
          <w:p>
            <w:pPr>
              <w:pStyle w:val="FirstParagraph"/>
            </w:pPr>
            <w:r>
              <w:t xml:space="preserve">A seguir estão as regras gerais para a formação de expressões de filtro: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qualquer campo de cabeçalho MIME (Multipurpose Internet Mail Extension)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Colocar sequências de caracteres literais entre aspas duplas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Corresponder o caractere curinga * a zero ou mais ocorrências de qualquer caractere.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Incluir parênteses para controlar a precedência.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lógicos AND, OR e NOT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de comparação =, &lt;, &gt;, &lt; =, &gt; = e &lt; &gt;.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de comparação de strings CONTAINS, LIKE (não distingue maiúsculas de minúsculas).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32" w:name="Tokensdenomedearquivo"/>
            <w:r>
              <w:t xml:space="preserve">Tokens de nome de arquivo</w:t>
            </w:r>
            <w:bookmarkEnd w:id="32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7"/>
        </w:numPr>
      </w:pPr>
      <w:r>
        <w:t xml:space="preserve">Para terminar de configurar o feed mais tarde, clique em Salvar ou Salvar e fechar.</w:t>
      </w:r>
    </w:p>
    <w:bookmarkEnd w:id="33"/>
    <w:bookmarkStart w:id="34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8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8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8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8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20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20"/>
        </w:numPr>
      </w:pPr>
      <w:r>
        <w:t xml:space="preserve">Para terminar de configurar o feed mais tarde, clique em Salvar ou Salvar e fechar.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0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2025-03-06T16:34:16Z</dcterms:created>
  <dcterms:modified xsi:type="dcterms:W3CDTF">2025-03-06T16:34:16Z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