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c274c7b454cb6f1e227185033d62d8555f0f4cb"/>
    <w:p>
      <w:pPr>
        <w:pStyle w:val="Heading1"/>
      </w:pPr>
      <w:bookmarkStart w:id="20" w:name="aanchor63"/>
      <w:bookmarkEnd w:id="20"/>
      <w:r>
        <w:t xml:space="preserve"> </w:t>
      </w:r>
      <w:r>
        <w:t xml:space="preserve">Adicionando feeds de dados de RSS do tipo Somente transporte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de RSS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31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15099" cy="115099"/>
            <wp:effectExtent b="0" l="0" r="0" t="0"/>
            <wp:docPr descr="Adicionar" title="Adicionar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ffd38131be509efd9502a60f316d92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drawing>
          <wp:inline>
            <wp:extent cx="269507" cy="231006"/>
            <wp:effectExtent b="0" l="0" r="0" t="0"/>
            <wp:docPr descr="Selecionar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5f41aba762f45a96a44007145ed5a8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30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31"/>
    <w:bookmarkStart w:id="33" w:name="Tarefa2Definirométododetransporte"/>
    <w:p>
      <w:pPr>
        <w:pStyle w:val="Heading2"/>
      </w:pPr>
      <w:r>
        <w:t xml:space="preserve">Tarefa 2: Definir o método de transporte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informe a URL e as credenciais do feed RSS para recuperar dados de origem.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URL</w:t>
            </w:r>
          </w:p>
        </w:tc>
        <w:tc>
          <w:tcPr/>
          <w:p>
            <w:pPr>
              <w:pStyle w:val="BodyText"/>
            </w:pPr>
            <w:r>
              <w:t xml:space="preserve">Especifica a URL do feed RSS.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Contagem de recuperação</w:t>
            </w:r>
          </w:p>
        </w:tc>
        <w:tc>
          <w:tcPr/>
          <w:p>
            <w:pPr>
              <w:pStyle w:val="BodyText"/>
            </w:pPr>
            <w:r>
              <w:t xml:space="preserve">Especifica o número de artigos ou dias de artigos que o feed RSS recupera.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Unidades de recuperação</w:t>
            </w:r>
          </w:p>
        </w:tc>
        <w:tc>
          <w:tcPr/>
          <w:p>
            <w:pPr>
              <w:pStyle w:val="BodyText"/>
            </w:pPr>
            <w:r>
              <w:t xml:space="preserve">Especifica quais dados o feed RSS contém e quantos dados o feed recupera.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Especifica o nome da conta de usuário usada para recuperar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Especifica a senha da conta de usuário usada para recuperar dados.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 Na seção Proxy, selecione a opção de proxy aplicável. Você pode especificar se o feed de dados passa por um proxy para acessar os dados de origem. Defina a configuração do proxy do sistema no painel de controle ou configure e forneça parâmetros para acessar outro proxy.</w:t>
      </w:r>
    </w:p>
    <w:p>
      <w:pPr>
        <w:numPr>
          <w:ilvl w:val="0"/>
          <w:numId w:val="1007"/>
        </w:numPr>
      </w:pPr>
      <w:r>
        <w:t xml:space="preserve">(Opcional) Preencha os campos aplicáveis se você selecionou uma opção de proxy. Forneça o nome, a ID da porta, o domínio do servidor proxy e as credenciais do usuário para fazer log-on no servidor proxy.</w:t>
      </w:r>
    </w:p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32" w:name="Tokensdenomedearquivo"/>
            <w:r>
              <w:t xml:space="preserve">Tokens de nome de arquivo</w:t>
            </w:r>
            <w:bookmarkEnd w:id="32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1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1"/>
        </w:numPr>
      </w:pPr>
      <w:r>
        <w:t xml:space="preserve">Para terminar de configurar o feed mais tarde, clique em Salvar ou Salvar e fechar.</w:t>
      </w:r>
    </w:p>
    <w:bookmarkEnd w:id="33"/>
    <w:bookmarkStart w:id="34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2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2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2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4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4"/>
        </w:numPr>
      </w:pPr>
      <w:r>
        <w:t xml:space="preserve">Para terminar de configurar o feed mais tarde, clique em Salvar ou Salvar e fechar.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0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2025-03-06T16:34:45Z</dcterms:created>
  <dcterms:modified xsi:type="dcterms:W3CDTF">2025-03-06T16:34:45Z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