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7a91e1acc6127c0b4a2799a2318c76ec8e79fe0"/>
    <w:p>
      <w:pPr>
        <w:pStyle w:val="Heading1"/>
      </w:pPr>
      <w:bookmarkStart w:id="20" w:name="aanchor134"/>
      <w:bookmarkEnd w:id="20"/>
      <w:r>
        <w:t xml:space="preserve"> </w:t>
      </w:r>
      <w:r>
        <w:t xml:space="preserve">Visualizando informações de licenciamento</w:t>
      </w:r>
    </w:p>
    <w:p>
      <w:pPr>
        <w:pStyle w:val="FirstParagraph"/>
      </w:pPr>
      <w:r>
        <w:t xml:space="preserve">A página Informações de licenciamento apresenta uma visão geral de suas informações de licença e dos casos de uso incluídos. Se não for possível acessar um caso de uso, aplicativo sob demanda, questionário ou idioma da plataforma, a página Informações de licenciamento indicará se ele está incluído em sua licença. Se você encontrar um erro no empacotamento ou cálculo, poderá visualizar o relatório de dependências sem licença.</w:t>
      </w:r>
    </w:p>
    <w:p>
      <w:pPr>
        <w:pStyle w:val="BodyText"/>
      </w:pPr>
      <w:r>
        <w:t xml:space="preserve">Com a compra de cada licença do</w:t>
      </w:r>
      <w:r>
        <w:t xml:space="preserve"> </w:t>
      </w:r>
      <w:r>
        <w:t xml:space="preserve">Archer</w:t>
      </w:r>
      <w:r>
        <w:t xml:space="preserve">, você recebe permissão para criar um ambiente único para uma instância de produção e duas instâncias de não produção.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Informa%C3%A7%C3%B5esdelicenciamento">
        <w:r>
          <w:rPr>
            <w:rStyle w:val="Hyperlink"/>
          </w:rPr>
          <w:t xml:space="preserve">Informações de licenciamento</w:t>
        </w:r>
      </w:hyperlink>
    </w:p>
    <w:p>
      <w:pPr>
        <w:pStyle w:val="Compact"/>
        <w:numPr>
          <w:ilvl w:val="1"/>
          <w:numId w:val="1002"/>
        </w:numPr>
      </w:pPr>
      <w:hyperlink w:anchor="X7a0260639bb203ef8ce23c7a573bd7577e4159f">
        <w:r>
          <w:rPr>
            <w:rStyle w:val="Hyperlink"/>
          </w:rPr>
          <w:t xml:space="preserve">Visualizando informações de licenciamento</w:t>
        </w:r>
      </w:hyperlink>
    </w:p>
    <w:p>
      <w:pPr>
        <w:pStyle w:val="Compact"/>
        <w:numPr>
          <w:ilvl w:val="1"/>
          <w:numId w:val="1002"/>
        </w:numPr>
      </w:pPr>
      <w:hyperlink w:anchor="Xbdad8fcaba8f9dd32f62244bf014610c8a96c87">
        <w:r>
          <w:rPr>
            <w:rStyle w:val="Hyperlink"/>
          </w:rPr>
          <w:t xml:space="preserve">Visualizando dependências não licenciadas</w:t>
        </w:r>
      </w:hyperlink>
    </w:p>
    <w:bookmarkStart w:id="23" w:name="Informaçõesdelicenciamento"/>
    <w:p>
      <w:pPr>
        <w:pStyle w:val="Heading2"/>
      </w:pPr>
      <w:r>
        <w:t xml:space="preserve">Informações de licenciamento</w:t>
      </w:r>
    </w:p>
    <w:p>
      <w:pPr>
        <w:pStyle w:val="FirstParagraph"/>
      </w:pPr>
      <w:r>
        <w:t xml:space="preserve">A página Informações de licenciamento contém as seguintes informações:</w:t>
      </w:r>
    </w:p>
    <w:p>
      <w:pPr>
        <w:pStyle w:val="Compact"/>
        <w:numPr>
          <w:ilvl w:val="0"/>
          <w:numId w:val="1003"/>
        </w:numPr>
      </w:pPr>
      <w:r>
        <w:t xml:space="preserve">Destinatário da licença</w:t>
      </w:r>
    </w:p>
    <w:p>
      <w:pPr>
        <w:pStyle w:val="Compact"/>
        <w:numPr>
          <w:ilvl w:val="0"/>
          <w:numId w:val="1003"/>
        </w:numPr>
      </w:pPr>
      <w:r>
        <w:t xml:space="preserve">Termo da licença</w:t>
      </w:r>
    </w:p>
    <w:p>
      <w:pPr>
        <w:pStyle w:val="Compact"/>
        <w:numPr>
          <w:ilvl w:val="0"/>
          <w:numId w:val="1003"/>
        </w:numPr>
      </w:pPr>
      <w:r>
        <w:t xml:space="preserve">Dias de licença restantes</w:t>
      </w:r>
    </w:p>
    <w:p>
      <w:pPr>
        <w:pStyle w:val="Compact"/>
        <w:numPr>
          <w:ilvl w:val="0"/>
          <w:numId w:val="1003"/>
        </w:numPr>
      </w:pPr>
      <w:r>
        <w:t xml:space="preserve">Versão do software</w:t>
      </w:r>
    </w:p>
    <w:p>
      <w:pPr>
        <w:pStyle w:val="Compact"/>
        <w:numPr>
          <w:ilvl w:val="0"/>
          <w:numId w:val="1003"/>
        </w:numPr>
      </w:pPr>
      <w:r>
        <w:t xml:space="preserve">Dependências não licenciadas</w:t>
      </w:r>
    </w:p>
    <w:p>
      <w:pPr>
        <w:pStyle w:val="Compact"/>
        <w:numPr>
          <w:ilvl w:val="0"/>
          <w:numId w:val="1003"/>
        </w:numPr>
      </w:pPr>
      <w:r>
        <w:t xml:space="preserve">Lista de aplicativos sob demanda licenciados, questionários, casos de uso e idiomas da plataforma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aplicativos principais não estão incluídos na página Informações de licenciamento. Os aplicativos são limitados pela chave de licença.</w:t>
      </w:r>
    </w:p>
    <w:p>
      <w:pPr>
        <w:pStyle w:val="BodyText"/>
      </w:pPr>
      <w:r>
        <w:t xml:space="preserve">O número de aplicativos sob demanda e questionários é exibido em Licenciado, Produção e Grupos disponíveis. Quando um aplicativo ou questionário sob demanda está no status Produção, a lista Licenciado diminui em 1 e a lista Produção aumenta em 1. O número no campo Disponível é igual aos aplicativos ou questionários sob demanda adquiridos que não estão em uso.</w:t>
      </w:r>
    </w:p>
    <w:bookmarkStart w:id="21" w:name="Visualizandoinformaçõesdelicenciamento"/>
    <w:p>
      <w:pPr>
        <w:pStyle w:val="Heading3"/>
      </w:pPr>
      <w:r>
        <w:t xml:space="preserve">Visualizando informações de licenciamento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&gt; Gerador de aplicativos &gt; Aplicativos.</w:t>
      </w:r>
    </w:p>
    <w:p>
      <w:pPr>
        <w:pStyle w:val="Compact"/>
        <w:numPr>
          <w:ilvl w:val="0"/>
          <w:numId w:val="1004"/>
        </w:numPr>
      </w:pPr>
      <w:r>
        <w:t xml:space="preserve">Clique em Informações de licenciamento.</w:t>
      </w:r>
    </w:p>
    <w:bookmarkEnd w:id="21"/>
    <w:bookmarkStart w:id="22" w:name="Visualizandodependênciasnãolicenciadas"/>
    <w:p>
      <w:pPr>
        <w:pStyle w:val="Heading3"/>
      </w:pPr>
      <w:r>
        <w:t xml:space="preserve">Visualizando dependências não licenciadas</w:t>
      </w:r>
    </w:p>
    <w:p>
      <w:pPr>
        <w:pStyle w:val="Compact"/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&gt; Gerador de aplicativos &gt; Aplicativos.</w:t>
      </w:r>
    </w:p>
    <w:p>
      <w:pPr>
        <w:pStyle w:val="Compact"/>
        <w:numPr>
          <w:ilvl w:val="0"/>
          <w:numId w:val="1005"/>
        </w:numPr>
      </w:pPr>
      <w:r>
        <w:t xml:space="preserve">Clique em Informações de licenciamento.</w:t>
      </w:r>
    </w:p>
    <w:p>
      <w:pPr>
        <w:pStyle w:val="Compact"/>
        <w:numPr>
          <w:ilvl w:val="0"/>
          <w:numId w:val="1005"/>
        </w:numPr>
      </w:pPr>
      <w:r>
        <w:t xml:space="preserve">Clique em Dependências não licenciadas.</w:t>
      </w:r>
    </w:p>
    <w:p>
      <w:pPr>
        <w:pStyle w:val="Compact"/>
        <w:numPr>
          <w:ilvl w:val="0"/>
          <w:numId w:val="1005"/>
        </w:numPr>
      </w:pPr>
      <w:r>
        <w:t xml:space="preserve">Na página Informações de dependência não licenciadas, visualize o relatório Dependências não licenciadas.</w:t>
      </w:r>
    </w:p>
    <w:bookmarkEnd w:id="22"/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2025-02-19T20:07:28Z</dcterms:created>
  <dcterms:modified xsi:type="dcterms:W3CDTF">2025-02-19T20:07:28Z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