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mc-main-content"/>
    <w:bookmarkStart w:id="50" w:name="regras-de-empacotamento-1"/>
    <w:p>
      <w:pPr>
        <w:pStyle w:val="Heading1"/>
      </w:pPr>
      <w:bookmarkStart w:id="20" w:name="aanchor48"/>
      <w:bookmarkEnd w:id="20"/>
      <w:r>
        <w:t xml:space="preserve"> </w:t>
      </w:r>
      <w:r>
        <w:t xml:space="preserve">Regras de empacotamento</w:t>
      </w:r>
    </w:p>
    <w:p>
      <w:pPr>
        <w:pStyle w:val="FirstParagraph"/>
      </w:pPr>
      <w:r>
        <w:t xml:space="preserve">O processo de empacotamento exige uma grande quantidade de regras e lógica para determinar como os elementos individuais nos aplicativos e questionários são migrados de 1 instância da</w:t>
      </w:r>
      <w:r>
        <w:t xml:space="preserve"> </w:t>
      </w:r>
      <w:r>
        <w:t xml:space="preserve">Archer</w:t>
      </w:r>
      <w:r>
        <w:t xml:space="preserve"> </w:t>
      </w:r>
      <w:r>
        <w:t xml:space="preserve">para outra. O empacotamento não exclui configurações de permissão nem objetos. Ele só adiciona novos e/ou atualiza os existentes. A única exceção é para layout e workflow avançado, onde o empacotamento substitui as configurações existentes.</w:t>
      </w:r>
    </w:p>
    <w:p>
      <w:pPr>
        <w:pStyle w:val="BodyText"/>
      </w:pPr>
      <w:r>
        <w:t xml:space="preserve">Após a instalação de um pacote, é recomendável reinstalar o pacote até que o número de avisos, erros ou ambos estejam em um estado estático.</w:t>
      </w:r>
    </w:p>
    <w:p>
      <w:pPr>
        <w:pStyle w:val="BodyText"/>
      </w:pPr>
      <w:r>
        <w:t xml:space="preserve">As seções a seguir apresentam informações adicionais sobre regras e lógica.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Fun%C3%A7%C3%B5esdeacesso">
        <w:r>
          <w:rPr>
            <w:rStyle w:val="Hyperlink"/>
          </w:rPr>
          <w:t xml:space="preserve">Funções de acesso</w:t>
        </w:r>
      </w:hyperlink>
    </w:p>
    <w:p>
      <w:pPr>
        <w:pStyle w:val="Compact"/>
        <w:numPr>
          <w:ilvl w:val="0"/>
          <w:numId w:val="1001"/>
        </w:numPr>
      </w:pPr>
      <w:hyperlink w:anchor="Workflowavan%C3%A7ado">
        <w:r>
          <w:rPr>
            <w:rStyle w:val="Hyperlink"/>
          </w:rPr>
          <w:t xml:space="preserve">Workflow avançado</w:t>
        </w:r>
      </w:hyperlink>
    </w:p>
    <w:p>
      <w:pPr>
        <w:pStyle w:val="Compact"/>
        <w:numPr>
          <w:ilvl w:val="0"/>
          <w:numId w:val="1001"/>
        </w:numPr>
      </w:pPr>
      <w:hyperlink w:anchor="Camposdeauditoria">
        <w:r>
          <w:rPr>
            <w:rStyle w:val="Hyperlink"/>
          </w:rPr>
          <w:t xml:space="preserve">Campos de auditoria</w:t>
        </w:r>
      </w:hyperlink>
    </w:p>
    <w:p>
      <w:pPr>
        <w:pStyle w:val="Compact"/>
        <w:numPr>
          <w:ilvl w:val="0"/>
          <w:numId w:val="1001"/>
        </w:numPr>
      </w:pPr>
      <w:hyperlink w:anchor="A%C3%A7%C3%B5esemlote">
        <w:r>
          <w:rPr>
            <w:rStyle w:val="Hyperlink"/>
          </w:rPr>
          <w:t xml:space="preserve">Ações em lote</w:t>
        </w:r>
      </w:hyperlink>
    </w:p>
    <w:p>
      <w:pPr>
        <w:pStyle w:val="Compact"/>
        <w:numPr>
          <w:ilvl w:val="0"/>
          <w:numId w:val="1001"/>
        </w:numPr>
      </w:pPr>
      <w:hyperlink w:anchor="C%C3%A1lculos">
        <w:r>
          <w:rPr>
            <w:rStyle w:val="Hyperlink"/>
          </w:rPr>
          <w:t xml:space="preserve">Cálculos</w:t>
        </w:r>
      </w:hyperlink>
    </w:p>
    <w:p>
      <w:pPr>
        <w:pStyle w:val="Compact"/>
        <w:numPr>
          <w:ilvl w:val="0"/>
          <w:numId w:val="1001"/>
        </w:numPr>
      </w:pPr>
      <w:hyperlink w:anchor="Refer%C3%AAnciascruzadascalculadas">
        <w:r>
          <w:rPr>
            <w:rStyle w:val="Hyperlink"/>
          </w:rPr>
          <w:t xml:space="preserve">Referências cruzadas calculadas</w:t>
        </w:r>
      </w:hyperlink>
    </w:p>
    <w:p>
      <w:pPr>
        <w:pStyle w:val="Compact"/>
        <w:numPr>
          <w:ilvl w:val="0"/>
          <w:numId w:val="1001"/>
        </w:numPr>
      </w:pPr>
      <w:hyperlink w:anchor="Eventosorientadospordados">
        <w:r>
          <w:rPr>
            <w:rStyle w:val="Hyperlink"/>
          </w:rPr>
          <w:t xml:space="preserve">Eventos orientados por dados</w:t>
        </w:r>
      </w:hyperlink>
    </w:p>
    <w:p>
      <w:pPr>
        <w:pStyle w:val="Compact"/>
        <w:numPr>
          <w:ilvl w:val="0"/>
          <w:numId w:val="1001"/>
        </w:numPr>
      </w:pPr>
      <w:hyperlink w:anchor="Valorpadr%C3%A3o">
        <w:r>
          <w:rPr>
            <w:rStyle w:val="Hyperlink"/>
          </w:rPr>
          <w:t xml:space="preserve">Valor padrão</w:t>
        </w:r>
      </w:hyperlink>
    </w:p>
    <w:p>
      <w:pPr>
        <w:pStyle w:val="Compact"/>
        <w:numPr>
          <w:ilvl w:val="0"/>
          <w:numId w:val="1001"/>
        </w:numPr>
      </w:pPr>
      <w:hyperlink w:anchor="Anexosdedocumenta%C3%A7%C3%A3o">
        <w:r>
          <w:rPr>
            <w:rStyle w:val="Hyperlink"/>
          </w:rPr>
          <w:t xml:space="preserve">Anexos de documentação</w:t>
        </w:r>
      </w:hyperlink>
    </w:p>
    <w:p>
      <w:pPr>
        <w:pStyle w:val="Compact"/>
        <w:numPr>
          <w:ilvl w:val="0"/>
          <w:numId w:val="1001"/>
        </w:numPr>
      </w:pPr>
      <w:hyperlink w:anchor="Camposexternos">
        <w:r>
          <w:rPr>
            <w:rStyle w:val="Hyperlink"/>
          </w:rPr>
          <w:t xml:space="preserve">Campos externos</w:t>
        </w:r>
      </w:hyperlink>
    </w:p>
    <w:p>
      <w:pPr>
        <w:pStyle w:val="Compact"/>
        <w:numPr>
          <w:ilvl w:val="0"/>
          <w:numId w:val="1001"/>
        </w:numPr>
      </w:pPr>
      <w:hyperlink w:anchor="Campos">
        <w:r>
          <w:rPr>
            <w:rStyle w:val="Hyperlink"/>
          </w:rPr>
          <w:t xml:space="preserve">Campos</w:t>
        </w:r>
      </w:hyperlink>
    </w:p>
    <w:p>
      <w:pPr>
        <w:pStyle w:val="Compact"/>
        <w:numPr>
          <w:ilvl w:val="0"/>
          <w:numId w:val="1001"/>
        </w:numPr>
      </w:pPr>
      <w:hyperlink w:anchor="Crit%C3%A9riosdefiltro">
        <w:r>
          <w:rPr>
            <w:rStyle w:val="Hyperlink"/>
          </w:rPr>
          <w:t xml:space="preserve">Critérios de filtro</w:t>
        </w:r>
      </w:hyperlink>
    </w:p>
    <w:p>
      <w:pPr>
        <w:pStyle w:val="Compact"/>
        <w:numPr>
          <w:ilvl w:val="0"/>
          <w:numId w:val="1001"/>
        </w:numPr>
      </w:pPr>
      <w:hyperlink w:anchor="Camposchave">
        <w:r>
          <w:rPr>
            <w:rStyle w:val="Hyperlink"/>
          </w:rPr>
          <w:t xml:space="preserve">Campos-chave</w:t>
        </w:r>
      </w:hyperlink>
    </w:p>
    <w:p>
      <w:pPr>
        <w:pStyle w:val="Compact"/>
        <w:numPr>
          <w:ilvl w:val="0"/>
          <w:numId w:val="1001"/>
        </w:numPr>
      </w:pPr>
      <w:hyperlink w:anchor="Layouts">
        <w:r>
          <w:rPr>
            <w:rStyle w:val="Hyperlink"/>
          </w:rPr>
          <w:t xml:space="preserve">Layouts</w:t>
        </w:r>
      </w:hyperlink>
    </w:p>
    <w:p>
      <w:pPr>
        <w:pStyle w:val="Compact"/>
        <w:numPr>
          <w:ilvl w:val="0"/>
          <w:numId w:val="1001"/>
        </w:numPr>
      </w:pPr>
      <w:hyperlink w:anchor="N%C3%ADveisemaplicativos">
        <w:r>
          <w:rPr>
            <w:rStyle w:val="Hyperlink"/>
          </w:rPr>
          <w:t xml:space="preserve">Níveis em aplicativos</w:t>
        </w:r>
      </w:hyperlink>
    </w:p>
    <w:p>
      <w:pPr>
        <w:pStyle w:val="Compact"/>
        <w:numPr>
          <w:ilvl w:val="0"/>
          <w:numId w:val="1001"/>
        </w:numPr>
      </w:pPr>
      <w:hyperlink w:anchor="Relat%C3%B3riospessoais">
        <w:r>
          <w:rPr>
            <w:rStyle w:val="Hyperlink"/>
          </w:rPr>
          <w:t xml:space="preserve">Relatórios pessoais</w:t>
        </w:r>
      </w:hyperlink>
    </w:p>
    <w:p>
      <w:pPr>
        <w:pStyle w:val="Compact"/>
        <w:numPr>
          <w:ilvl w:val="0"/>
          <w:numId w:val="1001"/>
        </w:numPr>
      </w:pPr>
      <w:hyperlink w:anchor="Permiss%C3%B5esderegistro">
        <w:r>
          <w:rPr>
            <w:rStyle w:val="Hyperlink"/>
          </w:rPr>
          <w:t xml:space="preserve">Permissões de registro</w:t>
        </w:r>
      </w:hyperlink>
    </w:p>
    <w:p>
      <w:pPr>
        <w:pStyle w:val="Compact"/>
        <w:numPr>
          <w:ilvl w:val="0"/>
          <w:numId w:val="1001"/>
        </w:numPr>
      </w:pPr>
      <w:hyperlink w:anchor="Camposdestatus">
        <w:r>
          <w:rPr>
            <w:rStyle w:val="Hyperlink"/>
          </w:rPr>
          <w:t xml:space="preserve">Campos de status</w:t>
        </w:r>
      </w:hyperlink>
    </w:p>
    <w:p>
      <w:pPr>
        <w:pStyle w:val="Compact"/>
        <w:numPr>
          <w:ilvl w:val="0"/>
          <w:numId w:val="1001"/>
        </w:numPr>
      </w:pPr>
      <w:hyperlink w:anchor="X38768e6917db3e2e50ca4f794c06e6c4b6c0065">
        <w:r>
          <w:rPr>
            <w:rStyle w:val="Hyperlink"/>
          </w:rPr>
          <w:t xml:space="preserve">Gráficos da análise de tendências</w:t>
        </w:r>
      </w:hyperlink>
    </w:p>
    <w:p>
      <w:pPr>
        <w:pStyle w:val="Compact"/>
        <w:numPr>
          <w:ilvl w:val="1"/>
          <w:numId w:val="1002"/>
        </w:numPr>
      </w:pPr>
      <w:hyperlink w:anchor="Xc8e0a7f0b5bab9be3c6103262940f1be619fe7f">
        <w:r>
          <w:rPr>
            <w:rStyle w:val="Hyperlink"/>
          </w:rPr>
          <w:t xml:space="preserve">Regras da análise de tendências – Análise de tendências habilitada</w:t>
        </w:r>
      </w:hyperlink>
    </w:p>
    <w:p>
      <w:pPr>
        <w:pStyle w:val="Compact"/>
        <w:numPr>
          <w:ilvl w:val="1"/>
          <w:numId w:val="1002"/>
        </w:numPr>
      </w:pPr>
      <w:hyperlink w:anchor="X26a00d26f253bac188370653579235feff9472d">
        <w:r>
          <w:rPr>
            <w:rStyle w:val="Hyperlink"/>
          </w:rPr>
          <w:t xml:space="preserve">Regras da análise de tendências – Duração</w:t>
        </w:r>
      </w:hyperlink>
    </w:p>
    <w:p>
      <w:pPr>
        <w:pStyle w:val="Compact"/>
        <w:numPr>
          <w:ilvl w:val="1"/>
          <w:numId w:val="1002"/>
        </w:numPr>
      </w:pPr>
      <w:hyperlink w:anchor="X73632c595fcf674e14c99561acf2f88a391fc07">
        <w:r>
          <w:rPr>
            <w:rStyle w:val="Hyperlink"/>
          </w:rPr>
          <w:t xml:space="preserve">Regras da análise de tendências – Campo referenciado</w:t>
        </w:r>
      </w:hyperlink>
    </w:p>
    <w:p>
      <w:pPr>
        <w:pStyle w:val="Compact"/>
        <w:numPr>
          <w:ilvl w:val="1"/>
          <w:numId w:val="1002"/>
        </w:numPr>
      </w:pPr>
      <w:hyperlink w:anchor="X4a31570ba82faf8cf8e3ee6655d233d2d175fce">
        <w:r>
          <w:rPr>
            <w:rStyle w:val="Hyperlink"/>
          </w:rPr>
          <w:t xml:space="preserve">Regras da análise de tendências – Objetos do gráfico de análise de tendências</w:t>
        </w:r>
      </w:hyperlink>
    </w:p>
    <w:p>
      <w:pPr>
        <w:pStyle w:val="Compact"/>
        <w:numPr>
          <w:ilvl w:val="0"/>
          <w:numId w:val="1001"/>
        </w:numPr>
      </w:pPr>
      <w:hyperlink w:anchor="Usu%C3%A1riosegrupos">
        <w:r>
          <w:rPr>
            <w:rStyle w:val="Hyperlink"/>
          </w:rPr>
          <w:t xml:space="preserve">Usuários e grupos</w:t>
        </w:r>
      </w:hyperlink>
    </w:p>
    <w:p>
      <w:pPr>
        <w:pStyle w:val="Compact"/>
        <w:numPr>
          <w:ilvl w:val="0"/>
          <w:numId w:val="1001"/>
        </w:numPr>
      </w:pPr>
      <w:hyperlink w:anchor="Listasdevalores">
        <w:r>
          <w:rPr>
            <w:rStyle w:val="Hyperlink"/>
          </w:rPr>
          <w:t xml:space="preserve">Listas de valores</w:t>
        </w:r>
      </w:hyperlink>
    </w:p>
    <w:p>
      <w:pPr>
        <w:pStyle w:val="Compact"/>
        <w:numPr>
          <w:ilvl w:val="0"/>
          <w:numId w:val="1001"/>
        </w:numPr>
      </w:pPr>
      <w:hyperlink w:anchor="Workflow">
        <w:r>
          <w:rPr>
            <w:rStyle w:val="Hyperlink"/>
          </w:rPr>
          <w:t xml:space="preserve">Workflow</w:t>
        </w:r>
      </w:hyperlink>
    </w:p>
    <w:p>
      <w:pPr>
        <w:pStyle w:val="Compact"/>
        <w:numPr>
          <w:ilvl w:val="0"/>
          <w:numId w:val="1001"/>
        </w:numPr>
      </w:pPr>
      <w:hyperlink w:anchor="Xbe34898755a099d265e886e9959f92d79a5be84">
        <w:r>
          <w:rPr>
            <w:rStyle w:val="Hyperlink"/>
          </w:rPr>
          <w:t xml:space="preserve">Áreas de trabalho e painéis de controle</w:t>
        </w:r>
      </w:hyperlink>
    </w:p>
    <w:bookmarkStart w:id="21" w:name="Funçõesdeacesso"/>
    <w:p>
      <w:pPr>
        <w:pStyle w:val="Heading2"/>
      </w:pPr>
      <w:r>
        <w:t xml:space="preserve">Funções de acesso</w:t>
      </w:r>
    </w:p>
    <w:p>
      <w:pPr>
        <w:pStyle w:val="FirstParagraph"/>
      </w:pPr>
      <w:r>
        <w:t xml:space="preserve">Quando você importa funções de acesso com grupos durante o processo de empacotamento, os grupos são criados sem membros na instância de destino. Depois que as funções de acesso são transmitidas da instância de origem para a instância de destino, você deve adicionar manualmente os usuários a cada grupo.</w:t>
      </w:r>
    </w:p>
    <w:p>
      <w:pPr>
        <w:pStyle w:val="TableCaption"/>
      </w:pPr>
      <w:r>
        <w:t xml:space="preserve">A tabela a seguir descreve os diferentes resultados ao importar funções de acesso que estão e não estão vinculadas a grupos, dependendo de sua instância de destino.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diferentes resultados ao importar funções de acesso que estão e não estão vinculadas a grupos, dependendo de sua instância de destino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O pacote contém a função de acesso não vinculada a um grupo</w:t>
            </w:r>
          </w:p>
        </w:tc>
        <w:tc>
          <w:tcPr/>
          <w:p>
            <w:pPr>
              <w:pStyle w:val="BodyText"/>
            </w:pPr>
            <w:r>
              <w:t xml:space="preserve">O pacote contém a função de acesso vinculada a um grupo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destino contém somente a função de acesso</w:t>
            </w:r>
          </w:p>
        </w:tc>
        <w:tc>
          <w:tcPr/>
          <w:p>
            <w:pPr>
              <w:pStyle w:val="BodyText"/>
            </w:pPr>
            <w:r>
              <w:t xml:space="preserve">A função de acesso é atualizada; não é feita nenhuma alteração de grupo</w:t>
            </w:r>
          </w:p>
        </w:tc>
        <w:tc>
          <w:tcPr/>
          <w:p>
            <w:pPr>
              <w:pStyle w:val="BodyText"/>
            </w:pPr>
            <w:r>
              <w:t xml:space="preserve">A função de acesso é atualizada; o grupo é adicionado e vinculado ao destino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destino contém somente grupo</w:t>
            </w:r>
          </w:p>
        </w:tc>
        <w:tc>
          <w:tcPr/>
          <w:p>
            <w:pPr>
              <w:pStyle w:val="BodyText"/>
            </w:pPr>
            <w:r>
              <w:t xml:space="preserve">A função de acesso é criada, sem alterações de grupo</w:t>
            </w:r>
          </w:p>
        </w:tc>
        <w:tc>
          <w:tcPr/>
          <w:p>
            <w:pPr>
              <w:pStyle w:val="BodyText"/>
            </w:pPr>
            <w:r>
              <w:t xml:space="preserve">A função de acesso é criada; o grupo é vinculado à função de acesso no destino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destino contém uma função de acesso e um grupo não vinculados</w:t>
            </w:r>
          </w:p>
        </w:tc>
        <w:tc>
          <w:tcPr/>
          <w:p>
            <w:pPr>
              <w:pStyle w:val="BodyText"/>
            </w:pPr>
            <w:r>
              <w:t xml:space="preserve">A função de acesso é atualizada; não é feita nenhuma alteração de grupo</w:t>
            </w:r>
          </w:p>
        </w:tc>
        <w:tc>
          <w:tcPr/>
          <w:p>
            <w:pPr>
              <w:pStyle w:val="BodyText"/>
            </w:pPr>
            <w:r>
              <w:t xml:space="preserve">A função de acesso é atualizada; o grupo é vinculado à função de acesso no destino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destino contém uma função de acesso e um grupo vinculados</w:t>
            </w:r>
          </w:p>
        </w:tc>
        <w:tc>
          <w:tcPr/>
          <w:p>
            <w:pPr>
              <w:pStyle w:val="BodyText"/>
            </w:pPr>
            <w:r>
              <w:t xml:space="preserve">A função de acesso é atualizada; não é feita nenhuma alteração de grupo (o grupo permanece vinculado à função de acesso)</w:t>
            </w:r>
          </w:p>
        </w:tc>
        <w:tc>
          <w:tcPr/>
          <w:p>
            <w:pPr>
              <w:pStyle w:val="BodyText"/>
            </w:pPr>
            <w:r>
              <w:t xml:space="preserve">A função de acesso é atualizada; não é feita nenhuma alteração de grupo (o grupo permanece vinculado à função de acesso)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Se o grupo vinculado ao pacote não for o mesmo vinculado ao destino, a função de acesso será vinculada a ambos os grupos.</w:t>
            </w:r>
          </w:p>
        </w:tc>
      </w:tr>
    </w:tbl>
    <w:bookmarkEnd w:id="21"/>
    <w:bookmarkStart w:id="23" w:name="Workflowavançado"/>
    <w:p>
      <w:pPr>
        <w:pStyle w:val="Heading2"/>
      </w:pPr>
      <w:r>
        <w:t xml:space="preserve">Workflow avançado</w:t>
      </w:r>
    </w:p>
    <w:p>
      <w:pPr>
        <w:pStyle w:val="FirstParagraph"/>
      </w:pPr>
      <w:r>
        <w:t xml:space="preserve">As regras de empacotamento relacionadas a workflow avançado incluem:</w:t>
      </w:r>
    </w:p>
    <w:p>
      <w:pPr>
        <w:numPr>
          <w:ilvl w:val="0"/>
          <w:numId w:val="1003"/>
        </w:numPr>
      </w:pPr>
      <w:r>
        <w:t xml:space="preserve">Você não poderá gerar um pacote que contém um aplicativo ou questionário com workflow avançado se o serviço Workflow avançado não estiver em execução.</w:t>
      </w:r>
    </w:p>
    <w:p>
      <w:pPr>
        <w:numPr>
          <w:ilvl w:val="0"/>
          <w:numId w:val="1003"/>
        </w:numPr>
      </w:pPr>
      <w:r>
        <w:t xml:space="preserve">Se você instalar um aplicativo ou questionário com workflow avançado e o aplicativo ou questionário de destino tiver trabalhos ativos de workflow avançado (ou trabalhos ativos de workflow avançado para o nível aplicável em um aplicativo em níveis) que estejam utilizando uma versão diferente do workflow, o workflow atualizado poderá ter efeitos imprevisíveis nos trabalhos ativos ou fazê-los falhar. É recomendável que você analise as alterações no workflow e considere as possíveis implicações dessas alterações nos trabalhos ativos. Se você optar por instalar o workflow atualizado, analise os trabalhos ativos e atualize-os conforme necessário.</w:t>
      </w:r>
    </w:p>
    <w:p>
      <w:pPr>
        <w:numPr>
          <w:ilvl w:val="0"/>
          <w:numId w:val="1003"/>
        </w:numPr>
      </w:pPr>
      <w:r>
        <w:t xml:space="preserve">Todos os workflows avançados são instalados como inativos. Após a instalação, revise os registros de instalação em busca de erros e verifique se o workflow avançado foi configurado corretamente. Depois de validar o workflow avançado,</w:t>
      </w:r>
      <w:r>
        <w:t xml:space="preserve"> </w:t>
      </w:r>
      <w:hyperlink r:id="rId22">
        <w:r>
          <w:rPr>
            <w:rStyle w:val="Hyperlink"/>
          </w:rPr>
          <w:t xml:space="preserve">ative o workflow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Se um pacote incluir um workflow avançado, os seguintes cenários e comportamentos se aplicarão.</w:t>
      </w:r>
    </w:p>
    <w:p>
      <w:pPr>
        <w:pStyle w:val="Compact"/>
      </w:pPr>
      <w:r>
        <w:t xml:space="preserve">A tabela a seguir descreve os cenários e resultados.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os cenários e resultados.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Aplicativo de destino</w:t>
            </w:r>
          </w:p>
        </w:tc>
        <w:tc>
          <w:tcPr/>
          <w:p>
            <w:pPr>
              <w:pStyle w:val="Compact"/>
            </w:pPr>
            <w:r>
              <w:t xml:space="preserve">Método de instalação</w:t>
            </w:r>
          </w:p>
        </w:tc>
        <w:tc>
          <w:tcPr/>
          <w:p>
            <w:pPr>
              <w:pStyle w:val="Compact"/>
            </w:pPr>
            <w:r>
              <w:t xml:space="preserve">Opção de instalação</w:t>
            </w:r>
          </w:p>
        </w:tc>
        <w:tc>
          <w:tcPr/>
          <w:p>
            <w:pPr>
              <w:pStyle w:val="Compact"/>
            </w:pPr>
            <w:r>
              <w:t xml:space="preserve">Resultado do destino</w:t>
            </w:r>
          </w:p>
        </w:tc>
      </w:tr>
      <w:tr>
        <w:tc>
          <w:tcPr/>
          <w:p>
            <w:pPr>
              <w:pStyle w:val="Compact"/>
            </w:pPr>
            <w:r>
              <w:t xml:space="preserve">Não há um workflow avançado</w:t>
            </w:r>
          </w:p>
        </w:tc>
        <w:tc>
          <w:tcPr/>
          <w:p>
            <w:pPr>
              <w:pStyle w:val="Compact"/>
            </w:pPr>
            <w:r>
              <w:t xml:space="preserve">Somente criar</w:t>
            </w:r>
          </w:p>
        </w:tc>
        <w:tc>
          <w:tcPr/>
          <w:p>
            <w:pPr>
              <w:pStyle w:val="Compact"/>
            </w:pPr>
            <w:r>
              <w:t xml:space="preserve">Sobrepor layout</w:t>
            </w:r>
          </w:p>
        </w:tc>
        <w:tc>
          <w:tcPr/>
          <w:p>
            <w:pPr>
              <w:pStyle w:val="BodyText"/>
            </w:pPr>
            <w:r>
              <w:t xml:space="preserve">É criado um workflow avançado.</w:t>
            </w:r>
          </w:p>
          <w:p>
            <w:pPr>
              <w:pStyle w:val="BodyText"/>
            </w:pPr>
            <w:r>
              <w:t xml:space="preserve">São criados novos layouts. Os layouts existentes (com correspondência por ID de sistema) são atualizados.</w:t>
            </w:r>
          </w:p>
          <w:p>
            <w:pPr>
              <w:pStyle w:val="BodyText"/>
            </w:pPr>
            <w:r>
              <w:t xml:space="preserve">São criados novos eventos orientados por dados. Os eventos orientados por dados já existentes não são atualizados.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É criado um workflow avançado.</w:t>
            </w:r>
          </w:p>
          <w:p>
            <w:pPr>
              <w:pStyle w:val="BodyText"/>
            </w:pPr>
            <w:r>
              <w:t xml:space="preserve">São criados novos layouts. Os layouts existentes (com correspondência por ID de sistema) não são atualizados.</w:t>
            </w:r>
          </w:p>
          <w:p>
            <w:pPr>
              <w:pStyle w:val="BodyText"/>
            </w:pPr>
            <w:r>
              <w:t xml:space="preserve">São criados novos eventos orientados por dados. Os eventos orientados por dados já existentes não são atualizados.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  <w:r>
              <w:t xml:space="preserve">Criar e atualizar</w:t>
            </w:r>
          </w:p>
        </w:tc>
        <w:tc>
          <w:tcPr/>
          <w:p>
            <w:pPr>
              <w:pStyle w:val="Compact"/>
            </w:pPr>
            <w:r>
              <w:t xml:space="preserve">Sobrepor layout</w:t>
            </w:r>
          </w:p>
        </w:tc>
        <w:tc>
          <w:tcPr/>
          <w:p>
            <w:pPr>
              <w:pStyle w:val="BodyText"/>
            </w:pPr>
            <w:r>
              <w:t xml:space="preserve">É criado um workflow avançado.</w:t>
            </w:r>
          </w:p>
          <w:p>
            <w:pPr>
              <w:pStyle w:val="BodyText"/>
            </w:pPr>
            <w:r>
              <w:t xml:space="preserve">São criados novos layouts. Os layouts existentes (com correspondência por ID de sistema) são atualizados.</w:t>
            </w:r>
          </w:p>
          <w:p>
            <w:pPr>
              <w:pStyle w:val="BodyText"/>
            </w:pPr>
            <w:r>
              <w:t xml:space="preserve">São criados novos eventos orientados por dados. Os eventos orientados por dados já existentes são atualizados.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É criado um workflow avançado.</w:t>
            </w:r>
          </w:p>
          <w:p>
            <w:pPr>
              <w:pStyle w:val="BodyText"/>
            </w:pPr>
            <w:r>
              <w:t xml:space="preserve">São criados novos layouts. Os layouts existentes (com correspondência por ID de sistema) não são atualizados.</w:t>
            </w:r>
          </w:p>
          <w:p>
            <w:pPr>
              <w:pStyle w:val="BodyText"/>
            </w:pPr>
            <w:r>
              <w:t xml:space="preserve">Se você escolher sobrepor o layout, precisará fazer atualizações manualmente em seu layout existente para ele funcionar com o workflow avançado.</w:t>
            </w:r>
          </w:p>
          <w:p>
            <w:pPr>
              <w:pStyle w:val="BodyText"/>
            </w:pPr>
            <w:r>
              <w:t xml:space="preserve">São criados novos eventos orientados por dados. Os eventos orientados por dados já existentes são atualizados.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Há um workflow avançado</w:t>
            </w:r>
          </w:p>
        </w:tc>
        <w:tc>
          <w:tcPr/>
          <w:p>
            <w:pPr>
              <w:pStyle w:val="Compact"/>
            </w:pPr>
            <w:r>
              <w:t xml:space="preserve">Somente criar</w:t>
            </w:r>
          </w:p>
        </w:tc>
        <w:tc>
          <w:tcPr/>
          <w:p>
            <w:pPr>
              <w:pStyle w:val="Compact"/>
            </w:pPr>
            <w:r>
              <w:t xml:space="preserve">Sobrepor layout</w:t>
            </w:r>
          </w:p>
        </w:tc>
        <w:tc>
          <w:tcPr/>
          <w:p>
            <w:pPr>
              <w:pStyle w:val="BodyText"/>
            </w:pPr>
            <w:r>
              <w:t xml:space="preserve">O workflow avançado não é instalado.</w:t>
            </w:r>
          </w:p>
          <w:p>
            <w:pPr>
              <w:pStyle w:val="BodyText"/>
            </w:pPr>
            <w:r>
              <w:t xml:space="preserve">São criados novos layouts, mas eles não são associados ao workflow avançado existente. Os layouts existentes são atualizados, mas não removidos dos nós existentes do workflow.</w:t>
            </w:r>
          </w:p>
          <w:p>
            <w:pPr>
              <w:pStyle w:val="BodyText"/>
            </w:pPr>
            <w:r>
              <w:t xml:space="preserve">São criados novos eventos orientados por dados. Os eventos orientados por dados já existentes não são atualizados.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O workflow avançado não é instalado.</w:t>
            </w:r>
          </w:p>
          <w:p>
            <w:pPr>
              <w:pStyle w:val="BodyText"/>
            </w:pPr>
            <w:r>
              <w:t xml:space="preserve">São criados novos layouts, mas eles não são associados ao workflow avançado existente. Os layouts existentes não são atualizados.</w:t>
            </w:r>
          </w:p>
          <w:p>
            <w:pPr>
              <w:pStyle w:val="BodyText"/>
            </w:pPr>
            <w:r>
              <w:t xml:space="preserve">São criados novos eventos orientados por dados. Os eventos orientados por dados já existentes não são atualizados.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  <w:r>
              <w:t xml:space="preserve">Criar e atualizar</w:t>
            </w:r>
          </w:p>
        </w:tc>
        <w:tc>
          <w:tcPr/>
          <w:p>
            <w:pPr>
              <w:pStyle w:val="Compact"/>
            </w:pPr>
            <w:r>
              <w:t xml:space="preserve">Sobrepor layout</w:t>
            </w:r>
          </w:p>
        </w:tc>
        <w:tc>
          <w:tcPr/>
          <w:p>
            <w:pPr>
              <w:pStyle w:val="BodyText"/>
            </w:pPr>
            <w:r>
              <w:t xml:space="preserve">O workflow avançado existente é substituído pelo workflow avançado no pacote.</w:t>
            </w:r>
          </w:p>
          <w:p>
            <w:pPr>
              <w:pStyle w:val="BodyText"/>
            </w:pPr>
            <w:r>
              <w:t xml:space="preserve">São criados novos layouts, os quais são associados ao workflow avançado conforme aplicável. Os layouts existentes (com correspondência por ID de sistema) são atualizados, mas desassociados dos nós do workflow.</w:t>
            </w:r>
          </w:p>
          <w:p>
            <w:pPr>
              <w:pStyle w:val="BodyText"/>
            </w:pPr>
            <w:r>
              <w:t xml:space="preserve">Os layouts existentes ainda estão disponíveis e podem ser reaplicados em um nó do workflow, mas o workflow pode exigir configuração manual para funcionar corretamente com o layout existente.</w:t>
            </w:r>
          </w:p>
          <w:p>
            <w:pPr>
              <w:pStyle w:val="BodyText"/>
            </w:pPr>
            <w:r>
              <w:t xml:space="preserve">São criados novos eventos orientados por dados. Os eventos orientados por dados já existentes são atualizados.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O workflow avançado existente é substituído pelo workflow avançado no pacote.</w:t>
            </w:r>
          </w:p>
          <w:p>
            <w:pPr>
              <w:pStyle w:val="BodyText"/>
            </w:pPr>
            <w:r>
              <w:t xml:space="preserve">São criados novos layouts, os quais são associados ao workflow avançado conforme aplicável. Os layouts existentes (com correspondência por ID de sistema) não são atualizados.</w:t>
            </w:r>
          </w:p>
          <w:p>
            <w:pPr>
              <w:pStyle w:val="BodyText"/>
            </w:pPr>
            <w:r>
              <w:t xml:space="preserve">Os layouts pré-existentes que não existem no pacote são desassociados do workflow. O layout permanece disponível e pode ser reaplicado em um nó do workflow, mas o workflow pode exigir configuração manual para funcionar corretamente com o layout existente.</w:t>
            </w:r>
          </w:p>
          <w:p>
            <w:pPr>
              <w:pStyle w:val="BodyText"/>
            </w:pPr>
            <w:r>
              <w:t xml:space="preserve">São criados novos eventos orientados por dados. Os eventos orientados por dados já existentes são atualizados.</w:t>
            </w:r>
          </w:p>
        </w:tc>
      </w:tr>
    </w:tbl>
    <w:p>
      <w:pPr>
        <w:numPr>
          <w:ilvl w:val="0"/>
          <w:numId w:val="1003"/>
        </w:numPr>
      </w:pPr>
      <w:r>
        <w:t xml:space="preserve">Se o pacote não incluir um workflow avançado, a instalação do pacote não excluirá nem modificará as configurações existentes de workflow avançado na instância de destino.</w:t>
      </w:r>
    </w:p>
    <w:bookmarkEnd w:id="23"/>
    <w:bookmarkStart w:id="24" w:name="Camposdeauditoria"/>
    <w:p>
      <w:pPr>
        <w:pStyle w:val="Heading2"/>
      </w:pPr>
      <w:r>
        <w:t xml:space="preserve">Campos de auditoria</w:t>
      </w:r>
    </w:p>
    <w:p>
      <w:pPr>
        <w:pStyle w:val="FirstParagraph"/>
      </w:pPr>
      <w:r>
        <w:t xml:space="preserve">As regras de empacotamento relacionadas a campos de auditoria incluem:</w:t>
      </w:r>
    </w:p>
    <w:p>
      <w:pPr>
        <w:numPr>
          <w:ilvl w:val="0"/>
          <w:numId w:val="1004"/>
        </w:numPr>
      </w:pPr>
      <w:r>
        <w:t xml:space="preserve">Os valores Criado por e Última atualização, para todos os elementos criados durante a instalação do pacote, são atribuídos ao usuário que instalou o pacote.</w:t>
      </w:r>
    </w:p>
    <w:p>
      <w:pPr>
        <w:numPr>
          <w:ilvl w:val="0"/>
          <w:numId w:val="1004"/>
        </w:numPr>
      </w:pPr>
      <w:r>
        <w:t xml:space="preserve">O valor Última atualização, para todos os elementos atualizados durante a instalação do pacote, é atribuído ao usuário que instalou o pacote.</w:t>
      </w:r>
    </w:p>
    <w:bookmarkEnd w:id="24"/>
    <w:bookmarkStart w:id="26" w:name="Açõesemlote"/>
    <w:p>
      <w:pPr>
        <w:pStyle w:val="Heading2"/>
      </w:pPr>
      <w:r>
        <w:t xml:space="preserve">Ações em lote</w:t>
      </w:r>
    </w:p>
    <w:p>
      <w:pPr>
        <w:pStyle w:val="FirstParagraph"/>
      </w:pPr>
      <w:r>
        <w:t xml:space="preserve">As regras de empacotamento relacionadas a ações em lote são:</w:t>
      </w:r>
    </w:p>
    <w:p>
      <w:pPr>
        <w:numPr>
          <w:ilvl w:val="0"/>
          <w:numId w:val="1005"/>
        </w:numPr>
      </w:pPr>
      <w:r>
        <w:t xml:space="preserve">Todos os agendamentos são instalados como inativos. Após a instalação, revise os registros de instalação em busca de erros e verifique se o agendamento foi configurado corretamente. Depois de validar a configuração,</w:t>
      </w:r>
      <w:r>
        <w:t xml:space="preserve"> </w:t>
      </w:r>
      <w:hyperlink r:id="rId25">
        <w:r>
          <w:rPr>
            <w:rStyle w:val="Hyperlink"/>
          </w:rPr>
          <w:t xml:space="preserve">ative o agendamento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t xml:space="preserve">Se o Proprietário do agendamento ou Executar como usuário do agendamento na instância de origem não existir na instância de destino, o campo será deixado em branco e uma advertência será registrada.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Um administrador de sistema, administrador de configuração ou proprietário do agendamento deve atualizar esses campos na agenda.</w:t>
      </w:r>
    </w:p>
    <w:p>
      <w:pPr>
        <w:numPr>
          <w:ilvl w:val="0"/>
          <w:numId w:val="1005"/>
        </w:numPr>
      </w:pPr>
      <w:r>
        <w:t xml:space="preserve">Ações vinculadas são tratadas como se segue:</w:t>
      </w:r>
    </w:p>
    <w:p>
      <w:pPr>
        <w:numPr>
          <w:ilvl w:val="1"/>
          <w:numId w:val="1006"/>
        </w:numPr>
      </w:pPr>
      <w:r>
        <w:t xml:space="preserve">Se o método de instalação é definido como criar e atualizar, novas ações são criadas e ações existentes são atualizadas.</w:t>
      </w:r>
    </w:p>
    <w:p>
      <w:pPr>
        <w:numPr>
          <w:ilvl w:val="1"/>
          <w:numId w:val="1006"/>
        </w:numPr>
      </w:pPr>
      <w:r>
        <w:t xml:space="preserve">Se o método de instalação é somente criar, somente as novas ações serão criadas. As ações existentes não são atualizadas.</w:t>
      </w:r>
    </w:p>
    <w:p>
      <w:pPr>
        <w:numPr>
          <w:ilvl w:val="0"/>
          <w:numId w:val="1005"/>
        </w:numPr>
      </w:pPr>
      <w:r>
        <w:t xml:space="preserve">Se o pacote contém uma configuração inválida, uma mensagem de advertência é gravada no registro de instalação do pacote e o agendado é salvo como inativo. Valide a configuração e, em seguida, ative-a.</w:t>
      </w:r>
    </w:p>
    <w:bookmarkEnd w:id="26"/>
    <w:bookmarkStart w:id="27" w:name="Cálculos"/>
    <w:p>
      <w:pPr>
        <w:pStyle w:val="Heading2"/>
      </w:pPr>
      <w:r>
        <w:t xml:space="preserve">Cálculos</w:t>
      </w:r>
    </w:p>
    <w:p>
      <w:pPr>
        <w:pStyle w:val="FirstParagraph"/>
      </w:pPr>
      <w:r>
        <w:t xml:space="preserve">A ordem de cálculo é retida da origem para o destino. Essa regra também é válida para ordem de cálculos que pode afetar eventos orientados por dados.</w:t>
      </w:r>
    </w:p>
    <w:bookmarkEnd w:id="27"/>
    <w:bookmarkStart w:id="28" w:name="Referênciascruzadascalculadas"/>
    <w:p>
      <w:pPr>
        <w:pStyle w:val="Heading2"/>
      </w:pPr>
      <w:r>
        <w:t xml:space="preserve">Referências cruzadas calculadas</w:t>
      </w:r>
    </w:p>
    <w:p>
      <w:pPr>
        <w:pStyle w:val="FirstParagraph"/>
      </w:pPr>
      <w:r>
        <w:t xml:space="preserve">Os pacotes não permitem que você atualize um campo de referência cruzada existente para um campo de referência cruzada calculada e vice-versa.</w:t>
      </w:r>
    </w:p>
    <w:bookmarkEnd w:id="28"/>
    <w:bookmarkStart w:id="29" w:name="Eventosorientadospordados"/>
    <w:p>
      <w:pPr>
        <w:pStyle w:val="Heading2"/>
      </w:pPr>
      <w:r>
        <w:t xml:space="preserve">Eventos orientados por dados</w:t>
      </w:r>
    </w:p>
    <w:p>
      <w:pPr>
        <w:pStyle w:val="FirstParagraph"/>
      </w:pPr>
      <w:r>
        <w:t xml:space="preserve">As regras de empacotamento relacionadas a eventos orientados por dados incluem:</w:t>
      </w:r>
    </w:p>
    <w:p>
      <w:pPr>
        <w:numPr>
          <w:ilvl w:val="0"/>
          <w:numId w:val="1007"/>
        </w:numPr>
      </w:pPr>
      <w:r>
        <w:t xml:space="preserve">Todas as regras no pacote são instaladas independentemente de estarem associadas a ações.</w:t>
      </w:r>
    </w:p>
    <w:p>
      <w:pPr>
        <w:numPr>
          <w:ilvl w:val="0"/>
          <w:numId w:val="1007"/>
        </w:numPr>
      </w:pPr>
      <w:r>
        <w:t xml:space="preserve">Todas as ações no pacote são instaladas independentemente de estarem associadas a regras.</w:t>
      </w:r>
    </w:p>
    <w:p>
      <w:pPr>
        <w:numPr>
          <w:ilvl w:val="0"/>
          <w:numId w:val="1007"/>
        </w:numPr>
      </w:pPr>
      <w:r>
        <w:t xml:space="preserve">Regras e ações existentes não são excluídas pela instalação do pacote.</w:t>
      </w:r>
    </w:p>
    <w:p>
      <w:pPr>
        <w:numPr>
          <w:ilvl w:val="0"/>
          <w:numId w:val="1007"/>
        </w:numPr>
      </w:pPr>
      <w:r>
        <w:t xml:space="preserve">A ordem das regras é retida da origem para o destino. Essa regra também é válida para ordem de cálculos que pode afetar eventos orientados por dados.</w:t>
      </w:r>
    </w:p>
    <w:p>
      <w:pPr>
        <w:numPr>
          <w:ilvl w:val="0"/>
          <w:numId w:val="1007"/>
        </w:numPr>
      </w:pPr>
      <w:r>
        <w:t xml:space="preserve">Se um link entre uma regra e uma ação for quebrado pelo pacote, a associação também é removida na instância de destino.</w:t>
      </w:r>
    </w:p>
    <w:p>
      <w:pPr>
        <w:numPr>
          <w:ilvl w:val="0"/>
          <w:numId w:val="1007"/>
        </w:numPr>
      </w:pPr>
      <w:r>
        <w:t xml:space="preserve">Regras relacionadas às ações Aplicar layout condicional incluem:</w:t>
      </w:r>
    </w:p>
    <w:p>
      <w:pPr>
        <w:numPr>
          <w:ilvl w:val="1"/>
          <w:numId w:val="1008"/>
        </w:numPr>
      </w:pPr>
      <w:r>
        <w:t xml:space="preserve">Se você selecionar a opção Sobrepor layout ao instalar um pacote e a instância de destino incluir ações Aplicar layout condicional que tiverem objetos diferentes dos especificados no pacote, a instalação do pacote removerá as configurações dos objetos de layout que não se aplicarem às ações Aplicar layout condicional.</w:t>
      </w:r>
    </w:p>
    <w:p>
      <w:pPr>
        <w:numPr>
          <w:ilvl w:val="1"/>
          <w:numId w:val="1008"/>
        </w:numPr>
      </w:pPr>
      <w:r>
        <w:t xml:space="preserve">Se você selecionar a opção Não fazer sobreposição de layout ao instalar um pacote e o pacote incluir ações Aplicar layout condicional que pressupõem a aplicação de um novo layout, a instalação do pacote removerá as configurações para os objetos de layout que não forem mais aplicáveis.</w:t>
      </w:r>
    </w:p>
    <w:bookmarkEnd w:id="29"/>
    <w:bookmarkStart w:id="30" w:name="Valorpadrão"/>
    <w:p>
      <w:pPr>
        <w:pStyle w:val="Heading2"/>
      </w:pPr>
      <w:r>
        <w:t xml:space="preserve">Valor padrão</w:t>
      </w:r>
    </w:p>
    <w:p>
      <w:pPr>
        <w:pStyle w:val="FirstParagraph"/>
      </w:pPr>
      <w:r>
        <w:t xml:space="preserve">As regras de empacotamento para Valores padrão respeitam o seguinte: se um novo campo é criado com um valor padrão, ou se um valor padrão é adicionado a um campo existente, o conteúdo existente na instância de destino não é atualizado com o valor padrão.</w:t>
      </w:r>
    </w:p>
    <w:bookmarkEnd w:id="30"/>
    <w:bookmarkStart w:id="31" w:name="Anexosdedocumentação"/>
    <w:p>
      <w:pPr>
        <w:pStyle w:val="Heading2"/>
      </w:pPr>
      <w:r>
        <w:t xml:space="preserve">Anexos de documentação</w:t>
      </w:r>
    </w:p>
    <w:p>
      <w:pPr>
        <w:pStyle w:val="FirstParagraph"/>
      </w:pPr>
      <w:r>
        <w:t xml:space="preserve">As regras de empacotamento relacionadas a anexos de documentação incluem:</w:t>
      </w:r>
    </w:p>
    <w:p>
      <w:pPr>
        <w:numPr>
          <w:ilvl w:val="0"/>
          <w:numId w:val="1009"/>
        </w:numPr>
      </w:pPr>
      <w:r>
        <w:t xml:space="preserve">O Empacotamento inclui arquivos de anexos para objetos que incluem um atributo de anexo de documentação na configuração. Eles são:</w:t>
      </w:r>
    </w:p>
    <w:p>
      <w:pPr>
        <w:numPr>
          <w:ilvl w:val="1"/>
          <w:numId w:val="1010"/>
        </w:numPr>
      </w:pPr>
      <w:r>
        <w:t xml:space="preserve">Documentação de Soluções</w:t>
      </w:r>
    </w:p>
    <w:p>
      <w:pPr>
        <w:numPr>
          <w:ilvl w:val="1"/>
          <w:numId w:val="1010"/>
        </w:numPr>
      </w:pPr>
      <w:r>
        <w:t xml:space="preserve">Documentação de Aplicativos</w:t>
      </w:r>
    </w:p>
    <w:p>
      <w:pPr>
        <w:numPr>
          <w:ilvl w:val="1"/>
          <w:numId w:val="1010"/>
        </w:numPr>
      </w:pPr>
      <w:r>
        <w:t xml:space="preserve">Documentação de Questionários</w:t>
      </w:r>
    </w:p>
    <w:p>
      <w:pPr>
        <w:numPr>
          <w:ilvl w:val="1"/>
          <w:numId w:val="1010"/>
        </w:numPr>
      </w:pPr>
      <w:r>
        <w:t xml:space="preserve">Documentação de Áreas de trabalho</w:t>
      </w:r>
    </w:p>
    <w:p>
      <w:pPr>
        <w:numPr>
          <w:ilvl w:val="1"/>
          <w:numId w:val="1010"/>
        </w:numPr>
      </w:pPr>
      <w:r>
        <w:t xml:space="preserve">Documentação de Painéis de controle</w:t>
      </w:r>
    </w:p>
    <w:p>
      <w:pPr>
        <w:numPr>
          <w:ilvl w:val="1"/>
          <w:numId w:val="1010"/>
        </w:numPr>
      </w:pPr>
      <w:r>
        <w:t xml:space="preserve">Modelo de relatório de Modelos de mala direta</w:t>
      </w:r>
    </w:p>
    <w:p>
      <w:pPr>
        <w:numPr>
          <w:ilvl w:val="0"/>
          <w:numId w:val="1009"/>
        </w:numPr>
      </w:pPr>
      <w:r>
        <w:t xml:space="preserve">O usuário que instalou o pacote é listado como o criador dos anexos.</w:t>
      </w:r>
    </w:p>
    <w:p>
      <w:pPr>
        <w:numPr>
          <w:ilvl w:val="0"/>
          <w:numId w:val="1009"/>
        </w:numPr>
      </w:pPr>
      <w:r>
        <w:t xml:space="preserve">Anexos de arquivos existentes não são excluídos durante o processo de instalação.</w:t>
      </w:r>
    </w:p>
    <w:p>
      <w:pPr>
        <w:numPr>
          <w:ilvl w:val="0"/>
          <w:numId w:val="1009"/>
        </w:numPr>
      </w:pPr>
      <w:r>
        <w:t xml:space="preserve">Os anexos no pacote não são combinados, mas adicionados à instância de destino. Se o anexo já existir na instância de destino, um anexo duplicado será criado.</w:t>
      </w:r>
    </w:p>
    <w:bookmarkEnd w:id="31"/>
    <w:bookmarkStart w:id="32" w:name="Camposexternos"/>
    <w:p>
      <w:pPr>
        <w:pStyle w:val="Heading2"/>
      </w:pPr>
      <w:r>
        <w:t xml:space="preserve">Campos externos</w:t>
      </w:r>
    </w:p>
    <w:p>
      <w:pPr>
        <w:pStyle w:val="FirstParagraph"/>
      </w:pPr>
      <w:r>
        <w:t xml:space="preserve">Para se comunicar com fontes de dados externas usando o gateway de dados, você deve mapear fontes de dados externas para os servidores</w:t>
      </w:r>
      <w:r>
        <w:t xml:space="preserve"> </w:t>
      </w:r>
      <w:r>
        <w:t xml:space="preserve">Archer</w:t>
      </w:r>
      <w:r>
        <w:t xml:space="preserve"> </w:t>
      </w:r>
      <w:r>
        <w:t xml:space="preserve">após a instalação do pacote.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data Gateway está disponível por meio do engajamento dos serviços profissionais.</w:t>
      </w:r>
    </w:p>
    <w:p>
      <w:pPr>
        <w:pStyle w:val="BodyText"/>
      </w:pPr>
      <w:r>
        <w:t xml:space="preserve">Com os aplicativos existentes, os campos externos não precisam ser atualizados.</w:t>
      </w:r>
    </w:p>
    <w:p>
      <w:pPr>
        <w:pStyle w:val="BodyText"/>
      </w:pPr>
      <w:r>
        <w:t xml:space="preserve">Com novos aplicativos, os campos externos devem ser mapeados.</w:t>
      </w:r>
    </w:p>
    <w:p>
      <w:pPr>
        <w:pStyle w:val="BodyText"/>
      </w:pPr>
      <w:r>
        <w:t xml:space="preserve">Estes são os campos atualmente compatíveis:</w:t>
      </w:r>
    </w:p>
    <w:p>
      <w:pPr>
        <w:numPr>
          <w:ilvl w:val="0"/>
          <w:numId w:val="1011"/>
        </w:numPr>
      </w:pPr>
      <w:r>
        <w:t xml:space="preserve">Texto</w:t>
      </w:r>
    </w:p>
    <w:p>
      <w:pPr>
        <w:numPr>
          <w:ilvl w:val="0"/>
          <w:numId w:val="1011"/>
        </w:numPr>
      </w:pPr>
      <w:r>
        <w:t xml:space="preserve">Numérico</w:t>
      </w:r>
    </w:p>
    <w:p>
      <w:pPr>
        <w:numPr>
          <w:ilvl w:val="0"/>
          <w:numId w:val="1011"/>
        </w:numPr>
      </w:pPr>
      <w:r>
        <w:t xml:space="preserve">IPv4</w:t>
      </w:r>
    </w:p>
    <w:p>
      <w:pPr>
        <w:numPr>
          <w:ilvl w:val="0"/>
          <w:numId w:val="1011"/>
        </w:numPr>
      </w:pPr>
      <w:r>
        <w:t xml:space="preserve">IPv6</w:t>
      </w:r>
    </w:p>
    <w:p>
      <w:pPr>
        <w:numPr>
          <w:ilvl w:val="0"/>
          <w:numId w:val="1011"/>
        </w:numPr>
      </w:pPr>
      <w:r>
        <w:t xml:space="preserve">Data</w:t>
      </w:r>
    </w:p>
    <w:p>
      <w:pPr>
        <w:numPr>
          <w:ilvl w:val="0"/>
          <w:numId w:val="1011"/>
        </w:numPr>
      </w:pPr>
      <w:r>
        <w:t xml:space="preserve">Data com hora</w:t>
      </w:r>
    </w:p>
    <w:bookmarkEnd w:id="32"/>
    <w:bookmarkStart w:id="33" w:name="Campos"/>
    <w:p>
      <w:pPr>
        <w:pStyle w:val="Heading2"/>
      </w:pPr>
      <w:r>
        <w:t xml:space="preserve">Campos</w:t>
      </w:r>
    </w:p>
    <w:p>
      <w:pPr>
        <w:pStyle w:val="FirstParagraph"/>
      </w:pPr>
      <w:r>
        <w:t xml:space="preserve">As regras de empacotamento relacionadas aos campos incluem:</w:t>
      </w:r>
    </w:p>
    <w:p>
      <w:pPr>
        <w:numPr>
          <w:ilvl w:val="0"/>
          <w:numId w:val="1012"/>
        </w:numPr>
      </w:pPr>
      <w:r>
        <w:t xml:space="preserve">Todos os atributos de campos podem ser atualizados pela instalação do pacote, com as seguintes exceções:</w:t>
      </w:r>
    </w:p>
    <w:p>
      <w:pPr>
        <w:numPr>
          <w:ilvl w:val="1"/>
          <w:numId w:val="1013"/>
        </w:numPr>
      </w:pPr>
      <w:r>
        <w:t xml:space="preserve">Tipo</w:t>
      </w:r>
    </w:p>
    <w:p>
      <w:pPr>
        <w:numPr>
          <w:ilvl w:val="1"/>
          <w:numId w:val="1013"/>
        </w:numPr>
      </w:pPr>
      <w:r>
        <w:t xml:space="preserve">Criado por</w:t>
      </w:r>
    </w:p>
    <w:p>
      <w:pPr>
        <w:numPr>
          <w:ilvl w:val="1"/>
          <w:numId w:val="1013"/>
        </w:numPr>
      </w:pPr>
      <w:r>
        <w:t xml:space="preserve">Designação de campo-chave</w:t>
      </w:r>
    </w:p>
    <w:p>
      <w:pPr>
        <w:numPr>
          <w:ilvl w:val="1"/>
          <w:numId w:val="1013"/>
        </w:numPr>
      </w:pPr>
      <w:r>
        <w:t xml:space="preserve">Módulo relacionado</w:t>
      </w:r>
    </w:p>
    <w:p>
      <w:pPr>
        <w:numPr>
          <w:ilvl w:val="1"/>
          <w:numId w:val="1013"/>
        </w:numPr>
      </w:pPr>
      <w:r>
        <w:t xml:space="preserve">Lista de valores associada</w:t>
      </w:r>
    </w:p>
    <w:p>
      <w:pPr>
        <w:numPr>
          <w:ilvl w:val="0"/>
          <w:numId w:val="1012"/>
        </w:numPr>
      </w:pPr>
      <w:r>
        <w:t xml:space="preserve">Um campo privado existente não é alterado para um campo público.</w:t>
      </w:r>
    </w:p>
    <w:bookmarkEnd w:id="33"/>
    <w:bookmarkStart w:id="34" w:name="Critériosdefiltro"/>
    <w:p>
      <w:pPr>
        <w:pStyle w:val="Heading2"/>
      </w:pPr>
      <w:r>
        <w:t xml:space="preserve">Critérios de filtro</w:t>
      </w:r>
    </w:p>
    <w:p>
      <w:pPr>
        <w:pStyle w:val="FirstParagraph"/>
      </w:pPr>
      <w:r>
        <w:t xml:space="preserve">As regras de empacotamento para Critérios de filtro incluem os seguintes atributos que são atualizados durante a instalação:</w:t>
      </w:r>
    </w:p>
    <w:p>
      <w:pPr>
        <w:numPr>
          <w:ilvl w:val="0"/>
          <w:numId w:val="1014"/>
        </w:numPr>
      </w:pPr>
      <w:r>
        <w:t xml:space="preserve">Valores. Se o sistema não puder mapear um valor da lista de valores na instância de destino, aquele item será removido do campo Valores para a condição.</w:t>
      </w:r>
    </w:p>
    <w:p>
      <w:pPr>
        <w:numPr>
          <w:ilvl w:val="0"/>
          <w:numId w:val="1014"/>
        </w:numPr>
      </w:pPr>
      <w:r>
        <w:t xml:space="preserve">Campo a ser avaliado. Se o sistema não puder mapear o campo na instância de destino, a condição será migrada como condição nula.</w:t>
      </w:r>
    </w:p>
    <w:p>
      <w:pPr>
        <w:numPr>
          <w:ilvl w:val="0"/>
          <w:numId w:val="1014"/>
        </w:numPr>
      </w:pPr>
      <w:r>
        <w:t xml:space="preserve">Número de ordem da condição</w:t>
      </w:r>
    </w:p>
    <w:p>
      <w:pPr>
        <w:numPr>
          <w:ilvl w:val="0"/>
          <w:numId w:val="1014"/>
        </w:numPr>
      </w:pPr>
      <w:r>
        <w:t xml:space="preserve">Operador</w:t>
      </w:r>
    </w:p>
    <w:p>
      <w:pPr>
        <w:numPr>
          <w:ilvl w:val="0"/>
          <w:numId w:val="1014"/>
        </w:numPr>
      </w:pPr>
      <w:r>
        <w:t xml:space="preserve">Relacionamento</w:t>
      </w:r>
    </w:p>
    <w:p>
      <w:pPr>
        <w:numPr>
          <w:ilvl w:val="0"/>
          <w:numId w:val="1014"/>
        </w:numPr>
      </w:pPr>
      <w:r>
        <w:t xml:space="preserve">Lógica de operador avançado</w:t>
      </w:r>
    </w:p>
    <w:bookmarkEnd w:id="34"/>
    <w:bookmarkStart w:id="35" w:name="Camposchave"/>
    <w:p>
      <w:pPr>
        <w:pStyle w:val="Heading2"/>
      </w:pPr>
      <w:r>
        <w:t xml:space="preserve">Campos-chave</w:t>
      </w:r>
    </w:p>
    <w:p>
      <w:pPr>
        <w:pStyle w:val="FirstParagraph"/>
      </w:pPr>
      <w:r>
        <w:t xml:space="preserve">As regras de empacotamento para Campos-chave respeitam o seguinte: se o campo-chave no pacote é diferente do campo-chave na instância de destino, a instância de destino mantém o mesmo atributo de campo-chave de antes da instalação.</w:t>
      </w:r>
    </w:p>
    <w:bookmarkEnd w:id="35"/>
    <w:bookmarkStart w:id="36" w:name="Layouts"/>
    <w:p>
      <w:pPr>
        <w:pStyle w:val="Heading2"/>
      </w:pPr>
      <w:r>
        <w:t xml:space="preserve">Layouts</w:t>
      </w:r>
    </w:p>
    <w:p>
      <w:pPr>
        <w:pStyle w:val="FirstParagraph"/>
      </w:pPr>
      <w:r>
        <w:t xml:space="preserve">As regras de empacotamento relacionadas a layouts incluem:</w:t>
      </w:r>
    </w:p>
    <w:p>
      <w:pPr>
        <w:numPr>
          <w:ilvl w:val="0"/>
          <w:numId w:val="1015"/>
        </w:numPr>
      </w:pPr>
      <w:r>
        <w:t xml:space="preserve">O processo de instalação do pacote tenta fazer a correspondência de todos os layouts no pacote por ID de sistema. O processo ignora os layouts sem correspondência.</w:t>
      </w:r>
    </w:p>
    <w:p>
      <w:pPr>
        <w:numPr>
          <w:ilvl w:val="0"/>
          <w:numId w:val="1015"/>
        </w:numPr>
      </w:pPr>
      <w:r>
        <w:t xml:space="preserve">Você não pode mapear o layout padrão nem associar layouts personalizados ao layout padrão.</w:t>
      </w:r>
    </w:p>
    <w:p>
      <w:pPr>
        <w:numPr>
          <w:ilvl w:val="0"/>
          <w:numId w:val="1015"/>
        </w:numPr>
      </w:pPr>
      <w:r>
        <w:t xml:space="preserve">Você pode associar layouts personalizados a outros layouts personalizados (se eles não têm correspondência por ID de sistema).</w:t>
      </w:r>
    </w:p>
    <w:p>
      <w:pPr>
        <w:numPr>
          <w:ilvl w:val="0"/>
          <w:numId w:val="1015"/>
        </w:numPr>
      </w:pPr>
      <w:r>
        <w:t xml:space="preserve">Se um layout tiver correspondência por ID de sistema, será possível mapear todos os objetos de layout no layout correspondente.</w:t>
      </w:r>
    </w:p>
    <w:bookmarkEnd w:id="36"/>
    <w:bookmarkStart w:id="37" w:name="Níveisemaplicativos"/>
    <w:p>
      <w:pPr>
        <w:pStyle w:val="Heading2"/>
      </w:pPr>
      <w:r>
        <w:t xml:space="preserve">Níveis em aplicativos</w:t>
      </w:r>
    </w:p>
    <w:p>
      <w:pPr>
        <w:pStyle w:val="FirstParagraph"/>
      </w:pPr>
      <w:r>
        <w:t xml:space="preserve">As regras de empacotamento relacionadas aos níveis em aplicativos incluem:</w:t>
      </w:r>
    </w:p>
    <w:p>
      <w:pPr>
        <w:numPr>
          <w:ilvl w:val="0"/>
          <w:numId w:val="1016"/>
        </w:numPr>
      </w:pPr>
      <w:r>
        <w:t xml:space="preserve">Os níveis existentes não são excluídos pela instalação do pacote.</w:t>
      </w:r>
    </w:p>
    <w:p>
      <w:pPr>
        <w:numPr>
          <w:ilvl w:val="0"/>
          <w:numId w:val="1016"/>
        </w:numPr>
      </w:pPr>
      <w:r>
        <w:t xml:space="preserve">A instalação do pacote não pode alterar um aplicativo em níveis para um aplicativo simples.</w:t>
      </w:r>
    </w:p>
    <w:p>
      <w:pPr>
        <w:numPr>
          <w:ilvl w:val="0"/>
          <w:numId w:val="1016"/>
        </w:numPr>
      </w:pPr>
      <w:r>
        <w:t xml:space="preserve">Se os níveis na instância de destino estiverem organizados em uma hierarquia diferente dos níveis no pacote, a instalação apresentará falha.</w:t>
      </w:r>
    </w:p>
    <w:bookmarkEnd w:id="37"/>
    <w:bookmarkStart w:id="38" w:name="Relatóriospessoais"/>
    <w:p>
      <w:pPr>
        <w:pStyle w:val="Heading2"/>
      </w:pPr>
      <w:r>
        <w:t xml:space="preserve">Relatórios pessoais</w:t>
      </w:r>
    </w:p>
    <w:p>
      <w:pPr>
        <w:pStyle w:val="FirstParagraph"/>
      </w:pPr>
      <w:r>
        <w:t xml:space="preserve">As regras de empacotamento para Relatórios pessoais não instalam relatórios pessoais na instalação do pacote. Para incluir relatórios pessoais, promova o relatório a um relatório global antes de criar o pacote na instância de origem.</w:t>
      </w:r>
    </w:p>
    <w:bookmarkEnd w:id="38"/>
    <w:bookmarkStart w:id="39" w:name="Permissõesderegistro"/>
    <w:p>
      <w:pPr>
        <w:pStyle w:val="Heading2"/>
      </w:pPr>
      <w:r>
        <w:t xml:space="preserve">Permissões de registro</w:t>
      </w:r>
    </w:p>
    <w:p>
      <w:pPr>
        <w:pStyle w:val="FirstParagraph"/>
      </w:pPr>
      <w:r>
        <w:t xml:space="preserve">As regras de empacotamento relacionadas a permissões de registro incluem:</w:t>
      </w:r>
    </w:p>
    <w:p>
      <w:pPr>
        <w:numPr>
          <w:ilvl w:val="0"/>
          <w:numId w:val="1017"/>
        </w:numPr>
      </w:pPr>
      <w:r>
        <w:t xml:space="preserve">O preenchimento dos campos Usuários/Grupos pode ser adicionado aos campos Permissões de registro, mas os já existentes não são removidos pela instalação do pacote.</w:t>
      </w:r>
    </w:p>
    <w:p>
      <w:pPr>
        <w:numPr>
          <w:ilvl w:val="0"/>
          <w:numId w:val="1017"/>
        </w:numPr>
      </w:pPr>
      <w:r>
        <w:t xml:space="preserve">Novos campos herdados podem ser adicionados, mas os já existentes não são removidos pela instalação do pacote.</w:t>
      </w:r>
    </w:p>
    <w:p>
      <w:pPr>
        <w:numPr>
          <w:ilvl w:val="0"/>
          <w:numId w:val="1017"/>
        </w:numPr>
      </w:pPr>
      <w:r>
        <w:t xml:space="preserve">Se um campo Usuários/Grupos na instância de destino é configurado como um campo Permissões de registro no pacote, a instalação do pacote altera o campo para o tipo Permissões de registro.</w:t>
      </w:r>
    </w:p>
    <w:bookmarkEnd w:id="39"/>
    <w:bookmarkStart w:id="40" w:name="Camposdestatus"/>
    <w:p>
      <w:pPr>
        <w:pStyle w:val="Heading2"/>
      </w:pPr>
      <w:r>
        <w:t xml:space="preserve">Campos de status</w:t>
      </w:r>
    </w:p>
    <w:p>
      <w:pPr>
        <w:pStyle w:val="FirstParagraph"/>
      </w:pPr>
      <w:r>
        <w:t xml:space="preserve">As regras de empacotamento relacionadas a campos de status incluem:</w:t>
      </w:r>
    </w:p>
    <w:p>
      <w:pPr>
        <w:numPr>
          <w:ilvl w:val="0"/>
          <w:numId w:val="1018"/>
        </w:numPr>
      </w:pPr>
      <w:r>
        <w:t xml:space="preserve">Se um aplicativo ou questionário existente é atualizado, o status atual na instância de destino não é alterada pela instalação do pacote.</w:t>
      </w:r>
    </w:p>
    <w:p>
      <w:pPr>
        <w:numPr>
          <w:ilvl w:val="0"/>
          <w:numId w:val="1018"/>
        </w:numPr>
      </w:pPr>
      <w:r>
        <w:t xml:space="preserve">Se o pacote criar um aplicativo ou questionário e não houver licenças suficientes, o novo aplicativo ou questionário será definido com o status Desenvolvimento e uma advertência será registrada.</w:t>
      </w:r>
    </w:p>
    <w:bookmarkEnd w:id="40"/>
    <w:bookmarkStart w:id="45" w:name="Gráficosdaanálisedetendências"/>
    <w:p>
      <w:pPr>
        <w:pStyle w:val="Heading2"/>
      </w:pPr>
      <w:r>
        <w:t xml:space="preserve">Gráficos da análise de tendências</w:t>
      </w:r>
    </w:p>
    <w:p>
      <w:pPr>
        <w:pStyle w:val="FirstParagraph"/>
      </w:pPr>
      <w:r>
        <w:t xml:space="preserve">Você pode adicionar objetos de análise de tendências (campos e gráficos) a pacotes para migrá-los para a instância de destino. Determinadas regras se aplicam ao empacotar objetos de análise de tendências. A principal regra é: se o campo habilitado para a análise de tendências não for adicionado ao pacote, o objeto de layout não poderá ser adicionado ao pacote.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Archer</w:t>
      </w:r>
      <w:r>
        <w:t xml:space="preserve"> </w:t>
      </w:r>
      <w:r>
        <w:t xml:space="preserve">utiliza as seguintes regras ao mapear objetos de análise de tendências (os quais serão explicados nas próximas seções):</w:t>
      </w:r>
    </w:p>
    <w:bookmarkStart w:id="41" w:name="Xd82df6c3610f0dbf2ba676c3dd84b3dfa232bbe"/>
    <w:p>
      <w:pPr>
        <w:pStyle w:val="Heading3"/>
      </w:pPr>
      <w:r>
        <w:t xml:space="preserve">Regras da análise de tendências – Análise de tendências habilitada</w:t>
      </w:r>
    </w:p>
    <w:p>
      <w:pPr>
        <w:pStyle w:val="TableCaption"/>
      </w:pPr>
      <w:r>
        <w:t xml:space="preserve">A tabela a seguir descreve as regras de tendência quando a tendência está habilitada.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regras de tendência quando a tendência está habilitada.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Origem</w:t>
            </w:r>
          </w:p>
        </w:tc>
        <w:tc>
          <w:tcPr/>
          <w:p>
            <w:pPr>
              <w:pStyle w:val="BodyText"/>
            </w:pPr>
            <w:r>
              <w:t xml:space="preserve">Destino</w:t>
            </w:r>
          </w:p>
        </w:tc>
        <w:tc>
          <w:tcPr/>
          <w:p>
            <w:pPr>
              <w:pStyle w:val="BodyText"/>
            </w:pPr>
            <w:r>
              <w:t xml:space="preserve">Método de instalação</w:t>
            </w:r>
          </w:p>
        </w:tc>
        <w:tc>
          <w:tcPr/>
          <w:p>
            <w:pPr>
              <w:pStyle w:val="BodyText"/>
            </w:pPr>
            <w:r>
              <w:t xml:space="preserve">Layout</w:t>
            </w:r>
          </w:p>
        </w:tc>
        <w:tc>
          <w:tcPr/>
          <w:p>
            <w:pPr>
              <w:pStyle w:val="BodyText"/>
            </w:pPr>
            <w:r>
              <w:t xml:space="preserve">Resultado do destino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Criar e atualizar</w:t>
            </w:r>
          </w:p>
        </w:tc>
        <w:tc>
          <w:tcPr/>
          <w:p>
            <w:pPr>
              <w:pStyle w:val="BodyText"/>
            </w:pPr>
            <w:r>
              <w:t xml:space="preserve">Algum</w:t>
            </w:r>
          </w:p>
        </w:tc>
        <w:tc>
          <w:tcPr/>
          <w:p>
            <w:pPr>
              <w:pStyle w:val="BodyText"/>
            </w:pPr>
            <w:r>
              <w:t xml:space="preserve">Habilitado para a análise de tendências.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Criar e atualizar</w:t>
            </w:r>
          </w:p>
        </w:tc>
        <w:tc>
          <w:tcPr/>
          <w:p>
            <w:pPr>
              <w:pStyle w:val="BodyText"/>
            </w:pPr>
            <w:r>
              <w:t xml:space="preserve">Algum</w:t>
            </w:r>
          </w:p>
        </w:tc>
        <w:tc>
          <w:tcPr/>
          <w:p>
            <w:pPr>
              <w:pStyle w:val="BodyText"/>
            </w:pPr>
            <w:r>
              <w:t xml:space="preserve">Habilitado para a análise de tendências.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Somente criar</w:t>
            </w:r>
          </w:p>
        </w:tc>
        <w:tc>
          <w:tcPr/>
          <w:p>
            <w:pPr>
              <w:pStyle w:val="BodyText"/>
            </w:pPr>
            <w:r>
              <w:t xml:space="preserve">Algum</w:t>
            </w:r>
          </w:p>
        </w:tc>
        <w:tc>
          <w:tcPr/>
          <w:p>
            <w:pPr>
              <w:pStyle w:val="BodyText"/>
            </w:pPr>
            <w:r>
              <w:t xml:space="preserve">O campo de destino não está atualizado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Criar e atualizar</w:t>
            </w:r>
          </w:p>
        </w:tc>
        <w:tc>
          <w:tcPr/>
          <w:p>
            <w:pPr>
              <w:pStyle w:val="BodyText"/>
            </w:pPr>
            <w:r>
              <w:t xml:space="preserve">Algum</w:t>
            </w:r>
          </w:p>
        </w:tc>
        <w:tc>
          <w:tcPr/>
          <w:p>
            <w:pPr>
              <w:pStyle w:val="BodyText"/>
            </w:pPr>
            <w:r>
              <w:t xml:space="preserve">Habilitado para a análise de tendências.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Não</w:t>
            </w:r>
          </w:p>
        </w:tc>
        <w:tc>
          <w:tcPr/>
          <w:p>
            <w:pPr>
              <w:pStyle w:val="BodyText"/>
            </w:pPr>
            <w:r>
              <w:t xml:space="preserve">Sim</w:t>
            </w:r>
          </w:p>
        </w:tc>
        <w:tc>
          <w:tcPr/>
          <w:p>
            <w:pPr>
              <w:pStyle w:val="BodyText"/>
            </w:pPr>
            <w:r>
              <w:t xml:space="preserve">Somente criar</w:t>
            </w:r>
          </w:p>
        </w:tc>
        <w:tc>
          <w:tcPr/>
          <w:p>
            <w:pPr>
              <w:pStyle w:val="BodyText"/>
            </w:pPr>
            <w:r>
              <w:t xml:space="preserve">Algum</w:t>
            </w:r>
          </w:p>
        </w:tc>
        <w:tc>
          <w:tcPr/>
          <w:p>
            <w:pPr>
              <w:pStyle w:val="BodyText"/>
            </w:pPr>
            <w:r>
              <w:t xml:space="preserve">O campo de destino não está atualizado</w:t>
            </w:r>
          </w:p>
        </w:tc>
      </w:tr>
    </w:tbl>
    <w:bookmarkEnd w:id="41"/>
    <w:bookmarkStart w:id="42" w:name="RegrasdaanálisedetendênciasDuração"/>
    <w:p>
      <w:pPr>
        <w:pStyle w:val="Heading3"/>
      </w:pPr>
      <w:r>
        <w:t xml:space="preserve">Regras da análise de tendências – Duração</w:t>
      </w:r>
    </w:p>
    <w:p>
      <w:pPr>
        <w:pStyle w:val="TableCaption"/>
      </w:pPr>
      <w:r>
        <w:t xml:space="preserve">A tabela a seguir descreve as regras de tendências relacionadas ao período de duração.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regras de tendências relacionadas ao período de duração.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Origem</w:t>
            </w:r>
          </w:p>
        </w:tc>
        <w:tc>
          <w:tcPr/>
          <w:p>
            <w:pPr>
              <w:pStyle w:val="BodyText"/>
            </w:pPr>
            <w:r>
              <w:t xml:space="preserve">Destino</w:t>
            </w:r>
          </w:p>
        </w:tc>
        <w:tc>
          <w:tcPr/>
          <w:p>
            <w:pPr>
              <w:pStyle w:val="BodyText"/>
            </w:pPr>
            <w:r>
              <w:t xml:space="preserve">Método de</w:t>
            </w:r>
            <w:r>
              <w:br/>
            </w:r>
            <w:r>
              <w:t xml:space="preserve">instalação</w:t>
            </w:r>
          </w:p>
        </w:tc>
        <w:tc>
          <w:tcPr/>
          <w:p>
            <w:pPr>
              <w:pStyle w:val="BodyText"/>
            </w:pPr>
            <w:r>
              <w:t xml:space="preserve">Layout</w:t>
            </w:r>
          </w:p>
        </w:tc>
        <w:tc>
          <w:tcPr/>
          <w:p>
            <w:pPr>
              <w:pStyle w:val="BodyText"/>
            </w:pPr>
            <w:r>
              <w:t xml:space="preserve">Resultado do</w:t>
            </w:r>
            <w:r>
              <w:br/>
            </w:r>
            <w:r>
              <w:t xml:space="preserve">destino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Igual ao destino</w:t>
            </w:r>
          </w:p>
        </w:tc>
        <w:tc>
          <w:tcPr/>
          <w:p>
            <w:pPr>
              <w:pStyle w:val="BodyText"/>
            </w:pPr>
            <w:r>
              <w:t xml:space="preserve">Igual à origem</w:t>
            </w:r>
          </w:p>
        </w:tc>
        <w:tc>
          <w:tcPr/>
          <w:p>
            <w:pPr>
              <w:pStyle w:val="BodyText"/>
            </w:pPr>
            <w:r>
              <w:t xml:space="preserve">Criar e atualizar</w:t>
            </w:r>
          </w:p>
        </w:tc>
        <w:tc>
          <w:tcPr/>
          <w:p>
            <w:pPr>
              <w:pStyle w:val="BodyText"/>
            </w:pPr>
            <w:r>
              <w:t xml:space="preserve">Algum</w:t>
            </w:r>
          </w:p>
        </w:tc>
        <w:tc>
          <w:tcPr/>
          <w:p>
            <w:pPr>
              <w:pStyle w:val="BodyText"/>
            </w:pPr>
            <w:r>
              <w:t xml:space="preserve">Sem alteração, permanece o mesmo.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Menor que o destino</w:t>
            </w:r>
          </w:p>
        </w:tc>
        <w:tc>
          <w:tcPr/>
          <w:p>
            <w:pPr>
              <w:pStyle w:val="BodyText"/>
            </w:pPr>
            <w:r>
              <w:t xml:space="preserve">Maior que a origem</w:t>
            </w:r>
          </w:p>
        </w:tc>
        <w:tc>
          <w:tcPr/>
          <w:p>
            <w:pPr>
              <w:pStyle w:val="BodyText"/>
            </w:pPr>
            <w:r>
              <w:t xml:space="preserve">Criar e atualizar</w:t>
            </w:r>
          </w:p>
        </w:tc>
        <w:tc>
          <w:tcPr/>
          <w:p>
            <w:pPr>
              <w:pStyle w:val="BodyText"/>
            </w:pPr>
            <w:r>
              <w:t xml:space="preserve">Algum</w:t>
            </w:r>
          </w:p>
        </w:tc>
        <w:tc>
          <w:tcPr/>
          <w:p>
            <w:pPr>
              <w:pStyle w:val="BodyText"/>
            </w:pPr>
            <w:r>
              <w:t xml:space="preserve">Retém a duração especificada no destino.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Maior que o destino</w:t>
            </w:r>
          </w:p>
        </w:tc>
        <w:tc>
          <w:tcPr/>
          <w:p>
            <w:pPr>
              <w:pStyle w:val="BodyText"/>
            </w:pPr>
            <w:r>
              <w:t xml:space="preserve">Menor que a origem</w:t>
            </w:r>
          </w:p>
        </w:tc>
        <w:tc>
          <w:tcPr/>
          <w:p>
            <w:pPr>
              <w:pStyle w:val="BodyText"/>
            </w:pPr>
            <w:r>
              <w:t xml:space="preserve">Criar e atualizar</w:t>
            </w:r>
          </w:p>
        </w:tc>
        <w:tc>
          <w:tcPr/>
          <w:p>
            <w:pPr>
              <w:pStyle w:val="BodyText"/>
            </w:pPr>
            <w:r>
              <w:t xml:space="preserve">Algum</w:t>
            </w:r>
          </w:p>
        </w:tc>
        <w:tc>
          <w:tcPr/>
          <w:p>
            <w:pPr>
              <w:pStyle w:val="BodyText"/>
            </w:pPr>
            <w:r>
              <w:t xml:space="preserve">Retém a duração especificada na origem.</w:t>
            </w:r>
          </w:p>
        </w:tc>
      </w:tr>
    </w:tbl>
    <w:bookmarkEnd w:id="42"/>
    <w:bookmarkStart w:id="43" w:name="X7629313177dc5930328e9f90fa6dbf569fc87bf"/>
    <w:p>
      <w:pPr>
        <w:pStyle w:val="Heading3"/>
      </w:pPr>
      <w:r>
        <w:t xml:space="preserve">Regras da análise de tendências – Campo referenciado</w:t>
      </w:r>
    </w:p>
    <w:p>
      <w:pPr>
        <w:pStyle w:val="TableCaption"/>
      </w:pPr>
      <w:r>
        <w:t xml:space="preserve">A seguinte tabela demonstra o que ocorre quando:</w:t>
      </w:r>
    </w:p>
    <w:p>
      <w:pPr>
        <w:pStyle w:val="Compact"/>
        <w:numPr>
          <w:ilvl w:val="0"/>
          <w:numId w:val="1019"/>
        </w:numPr>
      </w:pPr>
      <w:r>
        <w:t xml:space="preserve">A análise de tendências está habilitada ou desabilitada para o campo.</w:t>
      </w:r>
    </w:p>
    <w:p>
      <w:pPr>
        <w:pStyle w:val="Compact"/>
        <w:numPr>
          <w:ilvl w:val="0"/>
          <w:numId w:val="1019"/>
        </w:numPr>
      </w:pPr>
      <w:r>
        <w:t xml:space="preserve">O campo habilitado para a análise de tendências é excluído.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seguinte tabela demonstra o que ocorre quando:A análise de tendências está habilitada ou desabilitada para o campo.O campo habilitado para a análise de tendências é excluído.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FirstParagraph"/>
            </w:pPr>
            <w:r>
              <w:t xml:space="preserve">Origem</w:t>
            </w:r>
          </w:p>
        </w:tc>
        <w:tc>
          <w:tcPr/>
          <w:p>
            <w:pPr>
              <w:pStyle w:val="BodyText"/>
            </w:pPr>
            <w:r>
              <w:t xml:space="preserve">Destino</w:t>
            </w:r>
          </w:p>
        </w:tc>
        <w:tc>
          <w:tcPr/>
          <w:p>
            <w:pPr>
              <w:pStyle w:val="BodyText"/>
            </w:pPr>
            <w:r>
              <w:t xml:space="preserve">Método de</w:t>
            </w:r>
            <w:r>
              <w:br/>
            </w:r>
            <w:r>
              <w:t xml:space="preserve">instalação</w:t>
            </w:r>
          </w:p>
        </w:tc>
        <w:tc>
          <w:tcPr/>
          <w:p>
            <w:pPr>
              <w:pStyle w:val="BodyText"/>
            </w:pPr>
            <w:r>
              <w:t xml:space="preserve">Layout</w:t>
            </w:r>
          </w:p>
        </w:tc>
        <w:tc>
          <w:tcPr/>
          <w:p>
            <w:pPr>
              <w:pStyle w:val="BodyText"/>
            </w:pPr>
            <w:r>
              <w:t xml:space="preserve">Resultado do</w:t>
            </w:r>
            <w:r>
              <w:br/>
            </w:r>
            <w:r>
              <w:t xml:space="preserve">destino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Habilitado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Somente criar</w:t>
            </w:r>
          </w:p>
        </w:tc>
        <w:tc>
          <w:tcPr/>
          <w:p>
            <w:pPr>
              <w:pStyle w:val="BodyTex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Nenhum campo está atualizado.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Campo diferente do campo na instância Origem.</w:t>
            </w:r>
          </w:p>
        </w:tc>
        <w:tc>
          <w:tcPr/>
          <w:p>
            <w:pPr>
              <w:pStyle w:val="BodyText"/>
            </w:pPr>
            <w:r>
              <w:t xml:space="preserve">Criar e atualizar</w:t>
            </w:r>
          </w:p>
        </w:tc>
        <w:tc>
          <w:tcPr/>
          <w:p>
            <w:pPr>
              <w:pStyle w:val="BodyTex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A instância de destino é atualizada para fazer referência ao campo da instância Origem.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Campo diferente do campo na instância Origem.</w:t>
            </w:r>
          </w:p>
        </w:tc>
        <w:tc>
          <w:tcPr/>
          <w:p>
            <w:pPr>
              <w:pStyle w:val="BodyText"/>
            </w:pPr>
            <w:r>
              <w:t xml:space="preserve">Somente criar</w:t>
            </w:r>
          </w:p>
        </w:tc>
        <w:tc>
          <w:tcPr/>
          <w:p>
            <w:pPr>
              <w:pStyle w:val="BodyTex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O campo existe nos dois locais. O objeto do gráfico é atualizado para fazer referência ao campo da instância Origem.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Campo diferente do campo na instância Origem.</w:t>
            </w:r>
          </w:p>
        </w:tc>
        <w:tc>
          <w:tcPr/>
          <w:p>
            <w:pPr>
              <w:pStyle w:val="BodyText"/>
            </w:pPr>
            <w:r>
              <w:t xml:space="preserve">Somente criar</w:t>
            </w:r>
          </w:p>
        </w:tc>
        <w:tc>
          <w:tcPr/>
          <w:p>
            <w:pPr>
              <w:pStyle w:val="BodyTex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O campo não existe na instância Destino. O objeto da instância Origem é criado na instância Destino e referenciado pelo objeto do gráfico na instância Destino.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Habilitado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Criar e atualizar</w:t>
            </w:r>
          </w:p>
        </w:tc>
        <w:tc>
          <w:tcPr/>
          <w:p>
            <w:pPr>
              <w:pStyle w:val="BodyTex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A instância Destino é atualizada com as propriedades do gráfico de análise de tendências que existem na instância Origem. O layout não é afetado.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Habilitado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Criar e atualizar</w:t>
            </w:r>
          </w:p>
        </w:tc>
        <w:tc>
          <w:tcPr/>
          <w:p>
            <w:pPr>
              <w:pStyle w:val="BodyText"/>
            </w:pPr>
            <w:r>
              <w:t xml:space="preserve">Sobrepor campo</w:t>
            </w:r>
          </w:p>
        </w:tc>
        <w:tc>
          <w:tcPr/>
          <w:p>
            <w:pPr>
              <w:pStyle w:val="BodyText"/>
            </w:pPr>
            <w:r>
              <w:t xml:space="preserve">A instância Destino é atualizada com as propriedades do gráfico de análise de tendências que existem na origem. A posição do objeto do gráfico no layout do aplicativo e as propriedades de expansão são afetadas.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Habilitado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Somente criar</w:t>
            </w:r>
          </w:p>
        </w:tc>
        <w:tc>
          <w:tcPr/>
          <w:p>
            <w:pPr>
              <w:pStyle w:val="BodyText"/>
            </w:pPr>
            <w:r>
              <w:t xml:space="preserve">Sobrepor layout</w:t>
            </w:r>
          </w:p>
        </w:tc>
        <w:tc>
          <w:tcPr/>
          <w:p>
            <w:pPr>
              <w:pStyle w:val="BodyText"/>
            </w:pPr>
            <w:r>
              <w:t xml:space="preserve">A posição do objeto do gráfico no layout do aplicativo é afetada. O campo e as propriedades do objeto do gráfico não são atualizados.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Desabilitado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Somente criar</w:t>
            </w:r>
          </w:p>
        </w:tc>
        <w:tc>
          <w:tcPr/>
          <w:p>
            <w:pPr>
              <w:pStyle w:val="BodyText"/>
            </w:pPr>
            <w:r>
              <w:t xml:space="preserve">Sobrepor layout</w:t>
            </w:r>
          </w:p>
        </w:tc>
        <w:tc>
          <w:tcPr/>
          <w:p>
            <w:pPr>
              <w:pStyle w:val="BodyText"/>
            </w:pPr>
            <w:r>
              <w:t xml:space="preserve">A seguinte mensagem é exibida: Pacote instalado com sucesso.</w:t>
            </w:r>
          </w:p>
          <w:p>
            <w:pPr>
              <w:pStyle w:val="BodyText"/>
            </w:pPr>
            <w:r>
              <w:t xml:space="preserve">O gráfico de análise de tendências não pode ser criado na instância Destino pelos seguintes motivos: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O campo referenciado não é habilitado para a análise de tendências.</w:t>
            </w:r>
          </w:p>
          <w:p>
            <w:pPr>
              <w:pStyle w:val="Compact"/>
              <w:numPr>
                <w:ilvl w:val="0"/>
                <w:numId w:val="1020"/>
              </w:numPr>
            </w:pPr>
            <w:r>
              <w:t xml:space="preserve">A operação de empacotamento não permite a análise de tendências na instância Destino quando Somente criar está selecionado.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Habilitado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Desabilitado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Criar e atualizar</w:t>
            </w:r>
          </w:p>
        </w:tc>
        <w:tc>
          <w:tcPr/>
          <w:p>
            <w:pPr>
              <w:pStyle w:val="BodyText"/>
            </w:pPr>
            <w:r>
              <w:t xml:space="preserve">Sobrepor layout</w:t>
            </w:r>
          </w:p>
        </w:tc>
        <w:tc>
          <w:tcPr/>
          <w:p>
            <w:pPr>
              <w:pStyle w:val="BodyText"/>
            </w:pPr>
            <w:r>
              <w:t xml:space="preserve">O objeto do gráfico e o campo referenciado são criados na instância Destino. O layout do aplicativo corresponde à instância Origem.</w:t>
            </w:r>
          </w:p>
          <w:p>
            <w:pPr>
              <w:pStyle w:val="BodyText"/>
            </w:pPr>
            <w:r>
              <w:t xml:space="preserve">O campo na instância de destino é habilitado para análise de tendências, e o gráfico associado de análise de tendências é criado na instância de destino.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Campo excluído</w:t>
            </w:r>
          </w:p>
        </w:tc>
        <w:tc>
          <w:tcPr/>
          <w:p>
            <w:pPr>
              <w:pStyle w:val="BodyText"/>
            </w:pPr>
            <w:r>
              <w:t xml:space="preserve">Somente criar</w:t>
            </w:r>
          </w:p>
        </w:tc>
        <w:tc>
          <w:tcPr/>
          <w:p>
            <w:pPr>
              <w:pStyle w:val="BodyTex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O objeto do gráfico e o campo referenciado são criados na instância Destino. O layout do aplicativo não é sobreposto.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Habilitado para a análise de tendências</w:t>
            </w:r>
          </w:p>
        </w:tc>
        <w:tc>
          <w:tcPr/>
          <w:p>
            <w:pPr>
              <w:pStyle w:val="BodyText"/>
            </w:pPr>
            <w:r>
              <w:t xml:space="preserve">Campo excluído</w:t>
            </w:r>
          </w:p>
        </w:tc>
        <w:tc>
          <w:tcPr/>
          <w:p>
            <w:pPr>
              <w:pStyle w:val="BodyText"/>
            </w:pPr>
            <w:r>
              <w:t xml:space="preserve">Criar e atualizar</w:t>
            </w:r>
          </w:p>
        </w:tc>
        <w:tc>
          <w:tcPr/>
          <w:p>
            <w:pPr>
              <w:pStyle w:val="BodyTex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O objeto do gráfico e o campo referenciado são criados no destino. O layout do aplicativo não é sobreposto.</w:t>
            </w:r>
          </w:p>
        </w:tc>
      </w:tr>
    </w:tbl>
    <w:bookmarkEnd w:id="43"/>
    <w:bookmarkStart w:id="44" w:name="X51d389aa3251e895b2c2baae20bd3ffec0f0926"/>
    <w:p>
      <w:pPr>
        <w:pStyle w:val="Heading3"/>
      </w:pPr>
      <w:r>
        <w:t xml:space="preserve">Regras da análise de tendências – Objetos do gráfico de análise de tendências</w:t>
      </w:r>
    </w:p>
    <w:p>
      <w:pPr>
        <w:pStyle w:val="TableCaption"/>
      </w:pPr>
      <w:r>
        <w:t xml:space="preserve">A tabela a seguir demonstra o que ocorre quando o objeto de análise de tendências (campo ou gráfico) ou o objeto de espaço reservado é adicionado ao layout.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monstra o que ocorre quando o objeto de análise de tendências (campo ou gráfico) ou o objeto de espaço reservado é adicionado ao layout.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Origem</w:t>
            </w:r>
          </w:p>
        </w:tc>
        <w:tc>
          <w:tcPr/>
          <w:p>
            <w:pPr>
              <w:pStyle w:val="BodyText"/>
            </w:pPr>
            <w:r>
              <w:t xml:space="preserve">Destino</w:t>
            </w:r>
          </w:p>
        </w:tc>
        <w:tc>
          <w:tcPr/>
          <w:p>
            <w:pPr>
              <w:pStyle w:val="BodyText"/>
            </w:pPr>
            <w:r>
              <w:t xml:space="preserve">Método de</w:t>
            </w:r>
            <w:r>
              <w:br/>
            </w:r>
            <w:r>
              <w:t xml:space="preserve">instalação</w:t>
            </w:r>
          </w:p>
        </w:tc>
        <w:tc>
          <w:tcPr/>
          <w:p>
            <w:pPr>
              <w:pStyle w:val="BodyText"/>
            </w:pPr>
            <w:r>
              <w:t xml:space="preserve">Layout</w:t>
            </w:r>
          </w:p>
        </w:tc>
        <w:tc>
          <w:tcPr/>
          <w:p>
            <w:pPr>
              <w:pStyle w:val="BodyText"/>
            </w:pPr>
            <w:r>
              <w:t xml:space="preserve">Resultado do</w:t>
            </w:r>
            <w:r>
              <w:br/>
            </w:r>
            <w:r>
              <w:t xml:space="preserve">destino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Somente criar</w:t>
            </w:r>
          </w:p>
        </w:tc>
        <w:tc>
          <w:tcPr/>
          <w:p>
            <w:pPr>
              <w:pStyle w:val="BodyTex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Nenhum campo está atualizado.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Criar e atualizar</w:t>
            </w:r>
          </w:p>
        </w:tc>
        <w:tc>
          <w:tcPr/>
          <w:p>
            <w:pPr>
              <w:pStyle w:val="BodyTex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A instância de destino é atualizada para fazer referência ao campo da instância Origem.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Somente criar</w:t>
            </w:r>
          </w:p>
        </w:tc>
        <w:tc>
          <w:tcPr/>
          <w:p>
            <w:pPr>
              <w:pStyle w:val="BodyTex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O campo referenciado existe nos dois locais e mapas. O objeto de análise de tendências é atualizado para fazer referência ao campo da instância Origem.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Somente criar</w:t>
            </w:r>
          </w:p>
        </w:tc>
        <w:tc>
          <w:tcPr/>
          <w:p>
            <w:pPr>
              <w:pStyle w:val="BodyTex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O campo referenciado não existe na instância Destino. O objeto da instância Origem é criado na instância Destino e referenciado pelo objeto de análise de tendências na instância Destino.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Criar e atualizar</w:t>
            </w:r>
          </w:p>
        </w:tc>
        <w:tc>
          <w:tcPr/>
          <w:p>
            <w:pPr>
              <w:pStyle w:val="BodyTex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A instância Destino é atualizada com as propriedades do gráfico de análise de tendências que existem na instância Origem. O layout do aplicativo não é alterado.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Criar e atualizar</w:t>
            </w:r>
          </w:p>
        </w:tc>
        <w:tc>
          <w:tcPr/>
          <w:p>
            <w:pPr>
              <w:pStyle w:val="BodyText"/>
            </w:pPr>
            <w:r>
              <w:t xml:space="preserve">Sobrepor layout</w:t>
            </w:r>
          </w:p>
        </w:tc>
        <w:tc>
          <w:tcPr/>
          <w:p>
            <w:pPr>
              <w:pStyle w:val="BodyText"/>
            </w:pPr>
            <w:r>
              <w:t xml:space="preserve">A instância Destino é atualizada com as propriedades do gráfico de análise de tendências que existem na instância Origem. A posição do objeto da análise de tendências no layout do aplicativo e as propriedades de expansão são atualizadas para corresponderem à instância Origem.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Somente criar</w:t>
            </w:r>
          </w:p>
        </w:tc>
        <w:tc>
          <w:tcPr/>
          <w:p>
            <w:pPr>
              <w:pStyle w:val="BodyText"/>
            </w:pPr>
            <w:r>
              <w:t xml:space="preserve">Sobrepor layout</w:t>
            </w:r>
          </w:p>
        </w:tc>
        <w:tc>
          <w:tcPr/>
          <w:p>
            <w:pPr>
              <w:pStyle w:val="BodyText"/>
            </w:pPr>
            <w:r>
              <w:t xml:space="preserve">A posição do objeto de análise de tendências é atualizada no layout do aplicativo. O campo e as propriedades do objeto de análise de tendências não são atualizados.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Espaço reservado no layout</w:t>
            </w:r>
          </w:p>
        </w:tc>
        <w:tc>
          <w:tcPr/>
          <w:p>
            <w:pPr>
              <w:pStyle w:val="BodyText"/>
            </w:pPr>
            <w:r>
              <w:t xml:space="preserve">Somente criar</w:t>
            </w:r>
          </w:p>
        </w:tc>
        <w:tc>
          <w:tcPr/>
          <w:p>
            <w:pPr>
              <w:pStyle w:val="BodyText"/>
            </w:pPr>
            <w:r>
              <w:t xml:space="preserve">Sobrepor layout</w:t>
            </w:r>
          </w:p>
        </w:tc>
        <w:tc>
          <w:tcPr/>
          <w:p>
            <w:pPr>
              <w:pStyle w:val="BodyText"/>
            </w:pPr>
            <w:r>
              <w:t xml:space="preserve">A seguinte mensagem é exibida: Pacote instalado com sucesso.</w:t>
            </w:r>
          </w:p>
          <w:p>
            <w:pPr>
              <w:pStyle w:val="BodyText"/>
            </w:pPr>
            <w:r>
              <w:t xml:space="preserve">O gráfico de análise de tendências não pode ser criado na instância Destino pelos seguintes motivos:</w:t>
            </w:r>
          </w:p>
          <w:p>
            <w:pPr>
              <w:pStyle w:val="Compact"/>
              <w:numPr>
                <w:ilvl w:val="0"/>
                <w:numId w:val="1021"/>
              </w:numPr>
            </w:pPr>
            <w:r>
              <w:t xml:space="preserve">O campo referenciado não é habilitado para a análise de tendências.</w:t>
            </w:r>
          </w:p>
          <w:p>
            <w:pPr>
              <w:pStyle w:val="Compact"/>
              <w:numPr>
                <w:ilvl w:val="0"/>
                <w:numId w:val="1021"/>
              </w:numPr>
            </w:pPr>
            <w:r>
              <w:t xml:space="preserve">A operação de empacotamento não permite a análise de tendências na instância Destino quando Somente criar está selecionado.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Espaço reservado no layout</w:t>
            </w:r>
          </w:p>
        </w:tc>
        <w:tc>
          <w:tcPr/>
          <w:p>
            <w:pPr>
              <w:pStyle w:val="BodyText"/>
            </w:pPr>
            <w:r>
              <w:t xml:space="preserve">Criar e atualizar</w:t>
            </w:r>
          </w:p>
        </w:tc>
        <w:tc>
          <w:tcPr/>
          <w:p>
            <w:pPr>
              <w:pStyle w:val="BodyText"/>
            </w:pPr>
            <w:r>
              <w:t xml:space="preserve">Sobrepor layout</w:t>
            </w:r>
          </w:p>
        </w:tc>
        <w:tc>
          <w:tcPr/>
          <w:p>
            <w:pPr>
              <w:pStyle w:val="BodyText"/>
            </w:pPr>
            <w:r>
              <w:t xml:space="preserve">O objeto de análise de tendências e o campo referenciado são criados na instância Destino. O layout do aplicativo corresponde à instância Origem.</w:t>
            </w:r>
          </w:p>
          <w:p>
            <w:pPr>
              <w:pStyle w:val="BodyText"/>
            </w:pPr>
            <w:r>
              <w:t xml:space="preserve">O campo na instância de destino é habilitado para análise de tendências, e o gráfico associado de análise de tendências é criado na instância de destino.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Espaço reservado no layout</w:t>
            </w:r>
          </w:p>
        </w:tc>
        <w:tc>
          <w:tcPr/>
          <w:p>
            <w:pPr>
              <w:pStyle w:val="BodyText"/>
            </w:pPr>
            <w:r>
              <w:t xml:space="preserve">Somente criar</w:t>
            </w:r>
          </w:p>
        </w:tc>
        <w:tc>
          <w:tcPr/>
          <w:p>
            <w:pPr>
              <w:pStyle w:val="BodyTex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O objeto de análise de tendências e o campo referenciado são criados na instância Destino. O layout do aplicativo não é sobreposto.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Objeto de análise de tendências no layout</w:t>
            </w:r>
          </w:p>
        </w:tc>
        <w:tc>
          <w:tcPr/>
          <w:p>
            <w:pPr>
              <w:pStyle w:val="BodyText"/>
            </w:pPr>
            <w:r>
              <w:t xml:space="preserve">Espaço reservado no layout</w:t>
            </w:r>
          </w:p>
        </w:tc>
        <w:tc>
          <w:tcPr/>
          <w:p>
            <w:pPr>
              <w:pStyle w:val="BodyText"/>
            </w:pPr>
            <w:r>
              <w:t xml:space="preserve">Criar e atualizar</w:t>
            </w:r>
          </w:p>
        </w:tc>
        <w:tc>
          <w:tcPr/>
          <w:p>
            <w:pPr>
              <w:pStyle w:val="BodyText"/>
            </w:pPr>
            <w:r>
              <w:t xml:space="preserve">Não fazer sobreposição de layout</w:t>
            </w:r>
          </w:p>
        </w:tc>
        <w:tc>
          <w:tcPr/>
          <w:p>
            <w:pPr>
              <w:pStyle w:val="BodyText"/>
            </w:pPr>
            <w:r>
              <w:t xml:space="preserve">O objeto de análise de tendências e o campo referenciado são criados no destino. O layout do aplicativo não é sobreposto.</w:t>
            </w:r>
          </w:p>
        </w:tc>
      </w:tr>
    </w:tbl>
    <w:bookmarkEnd w:id="44"/>
    <w:bookmarkEnd w:id="45"/>
    <w:bookmarkStart w:id="46" w:name="Usuáriosegrupos"/>
    <w:p>
      <w:pPr>
        <w:pStyle w:val="Heading2"/>
      </w:pPr>
      <w:r>
        <w:t xml:space="preserve">Usuários e grupos</w:t>
      </w:r>
    </w:p>
    <w:p>
      <w:pPr>
        <w:pStyle w:val="FirstParagraph"/>
      </w:pPr>
      <w:r>
        <w:t xml:space="preserve">As regras de empacotamento relacionadas a usuários e grupos incluem:</w:t>
      </w:r>
    </w:p>
    <w:p>
      <w:pPr>
        <w:numPr>
          <w:ilvl w:val="0"/>
          <w:numId w:val="1022"/>
        </w:numPr>
      </w:pPr>
      <w:r>
        <w:t xml:space="preserve">O processo de instalação do pacote tenta fazer a correspondência de todos os usuários no pacote por nome do usuário e domínio. O processo ignora os usuários que não apresentam correspondência.</w:t>
      </w:r>
    </w:p>
    <w:p>
      <w:pPr>
        <w:numPr>
          <w:ilvl w:val="0"/>
          <w:numId w:val="1022"/>
        </w:numPr>
      </w:pPr>
      <w:r>
        <w:t xml:space="preserve">O processo de instalação do pacote tenta fazer a correspondência de todos os grupos no pacote por ID do sistema. Se não houver correspondência, o processo tentará fazer a correspondência dos grupos por nome do grupo e domínio. O processo ignora os grupos que não apresentam correspondência.</w:t>
      </w:r>
    </w:p>
    <w:bookmarkEnd w:id="46"/>
    <w:bookmarkStart w:id="47" w:name="Listasdevalores"/>
    <w:p>
      <w:pPr>
        <w:pStyle w:val="Heading2"/>
      </w:pPr>
      <w:r>
        <w:t xml:space="preserve">Listas de valores</w:t>
      </w:r>
    </w:p>
    <w:p>
      <w:pPr>
        <w:pStyle w:val="FirstParagraph"/>
      </w:pPr>
      <w:r>
        <w:t xml:space="preserve">As regras de empacotamento relacionadas a listas de valores, que podem compreender listas de valores globais, listas de valores de questionário ou listas de valores personalizados, incluem:</w:t>
      </w:r>
    </w:p>
    <w:p>
      <w:pPr>
        <w:numPr>
          <w:ilvl w:val="0"/>
          <w:numId w:val="1023"/>
        </w:numPr>
      </w:pPr>
      <w:r>
        <w:t xml:space="preserve">Se uma lista de valores globais no arquivo de pacotes corresponder a uma lista de valores personalizados na instância de destino, a lista de valores personalizados será promovida a Lista de valores globais durante a instalação. No entanto, o contrário não acontece. Uma lista de valores globais na instância de destino não é rebaixada a Lista de valores personalizados durante a instalação.</w:t>
      </w:r>
    </w:p>
    <w:p>
      <w:pPr>
        <w:numPr>
          <w:ilvl w:val="0"/>
          <w:numId w:val="1023"/>
        </w:numPr>
      </w:pPr>
      <w:r>
        <w:t xml:space="preserve">Os seguintes atributos de valores de lista de valores não serão atualizados se já existirem configurações na instância de destino:</w:t>
      </w:r>
    </w:p>
    <w:p>
      <w:pPr>
        <w:numPr>
          <w:ilvl w:val="1"/>
          <w:numId w:val="1024"/>
        </w:numPr>
      </w:pPr>
      <w:r>
        <w:t xml:space="preserve">Altura</w:t>
      </w:r>
    </w:p>
    <w:p>
      <w:pPr>
        <w:numPr>
          <w:ilvl w:val="1"/>
          <w:numId w:val="1024"/>
        </w:numPr>
      </w:pPr>
      <w:r>
        <w:t xml:space="preserve">Texto padrão</w:t>
      </w:r>
    </w:p>
    <w:p>
      <w:pPr>
        <w:numPr>
          <w:ilvl w:val="0"/>
          <w:numId w:val="1023"/>
        </w:numPr>
      </w:pPr>
      <w:r>
        <w:t xml:space="preserve">Nas listas de valores ordenados personalizados, o pacote de origem determina a ordem de classificação dos valores. Todos os itens de destino não correspondentes aparecem abaixo dos valores de origem, mas na mesma ordem relativa.</w:t>
      </w:r>
    </w:p>
    <w:bookmarkEnd w:id="47"/>
    <w:bookmarkStart w:id="48" w:name="Workflow"/>
    <w:p>
      <w:pPr>
        <w:pStyle w:val="Heading2"/>
      </w:pPr>
      <w:r>
        <w:t xml:space="preserve">Workflow</w:t>
      </w:r>
    </w:p>
    <w:p>
      <w:pPr>
        <w:pStyle w:val="FirstParagraph"/>
      </w:pPr>
      <w:r>
        <w:t xml:space="preserve">As regras de empacotamento relacionadas a workflow incluem:</w:t>
      </w:r>
    </w:p>
    <w:p>
      <w:pPr>
        <w:numPr>
          <w:ilvl w:val="0"/>
          <w:numId w:val="1025"/>
        </w:numPr>
      </w:pPr>
      <w:r>
        <w:t xml:space="preserve">Se um pacote incluir configurações de workflow, todas elas serão instaladas na instância de destino e as configurações de workflow existentes serão sobrepostas. Entretanto, se você selecionar a opção Somente criar durante a instalação de um pacote e pelo menos 1 fase já existir na instância de destino, a instalação do pacote não fará nenhuma alteração nas configurações de workflow existentes. Se nenhuma fase de workflow estiver definida na instância de destino e você selecionar a opção Somente criar, a instalação do pacote atualizará todas as configurações de workflow como especificado no pacote.</w:t>
      </w:r>
    </w:p>
    <w:p>
      <w:pPr>
        <w:numPr>
          <w:ilvl w:val="0"/>
          <w:numId w:val="1025"/>
        </w:numPr>
      </w:pPr>
      <w:r>
        <w:t xml:space="preserve">Se o pacote não incluir nenhuma configuração de workflow, a instalação do pacote não excluirá nem modificará as configurações de workflow existentes na instância de destino.</w:t>
      </w:r>
    </w:p>
    <w:p>
      <w:pPr>
        <w:numPr>
          <w:ilvl w:val="0"/>
          <w:numId w:val="1025"/>
        </w:numPr>
      </w:pPr>
      <w:r>
        <w:t xml:space="preserve">Os registros em uma fase de workflow excluídos pela instalação do pacote serão roteados para o ponto de partida do processo de workflow.</w:t>
      </w:r>
    </w:p>
    <w:bookmarkEnd w:id="48"/>
    <w:bookmarkStart w:id="49" w:name="Áreasdetrabalhoepainéisdecontrole"/>
    <w:p>
      <w:pPr>
        <w:pStyle w:val="Heading2"/>
      </w:pPr>
      <w:r>
        <w:t xml:space="preserve">Áreas de trabalho e painéis de controle</w:t>
      </w:r>
    </w:p>
    <w:p>
      <w:pPr>
        <w:pStyle w:val="FirstParagraph"/>
      </w:pPr>
      <w:r>
        <w:t xml:space="preserve">As regras de empacotamento relacionadas a áreas de trabalho e painéis de controle incluem:</w:t>
      </w:r>
    </w:p>
    <w:p>
      <w:pPr>
        <w:pStyle w:val="BodyText"/>
      </w:pPr>
      <w:r>
        <w:t xml:space="preserve">Se o pacote criar uma área de trabalho ou um painel de controle e não houver licenças suficientes, o status da nova área de trabalho ou do novo painel de controle será definido como Desenvolvimento, e uma mensagem de advertência será registrada.</w:t>
      </w:r>
    </w:p>
    <w:bookmarkEnd w:id="49"/>
    <w:bookmarkEnd w:id="50"/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dvancedworkflow/adv_wrkflw_activate_inactivate.htm" TargetMode="External" /><Relationship Type="http://schemas.openxmlformats.org/officeDocument/2006/relationships/hyperlink" Id="rId25" Target="../recordclassic/rec_classic_bulk_action_schedul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dvancedworkflow/adv_wrkflw_activate_inactivate.htm" TargetMode="External" /><Relationship Type="http://schemas.openxmlformats.org/officeDocument/2006/relationships/hyperlink" Id="rId25" Target="../recordclassic/rec_classic_bulk_action_schedul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2025-02-19T20:15:54Z</dcterms:created>
  <dcterms:modified xsi:type="dcterms:W3CDTF">2025-02-19T20:15:54Z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