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c-main-content"/>
    <w:bookmarkStart w:id="23" w:name="instalando-um-pacote"/>
    <w:p>
      <w:pPr>
        <w:pStyle w:val="Heading1"/>
      </w:pPr>
      <w:bookmarkStart w:id="20" w:name="aanchor251"/>
      <w:bookmarkEnd w:id="20"/>
      <w:r>
        <w:t xml:space="preserve"> </w:t>
      </w:r>
      <w:r>
        <w:t xml:space="preserve">Instalando um pacote</w:t>
      </w:r>
    </w:p>
    <w:p>
      <w:pPr>
        <w:pStyle w:val="FirstParagraph"/>
      </w:pPr>
      <w:r>
        <w:t xml:space="preserve">Execute esta tarefa para instalar um pacote após importar um arquivo de pacote. Você pode colocar vários pacotes na fila, mas a</w:t>
      </w:r>
      <w:r>
        <w:t xml:space="preserve"> </w:t>
      </w:r>
      <w:r>
        <w:t xml:space="preserve">Archer</w:t>
      </w:r>
      <w:r>
        <w:t xml:space="preserve"> </w:t>
      </w:r>
      <w:r>
        <w:t xml:space="preserve">só instalará 1 pacote por vez.</w:t>
      </w:r>
    </w:p>
    <w:p>
      <w:pPr>
        <w:pStyle w:val="BodyText"/>
      </w:pPr>
      <w:r>
        <w:t xml:space="preserve">Se for instalado um pacote com um módulo principal em uma instância de destino na qual ele não existe atualmente, esse módulo principal deverá ser licenciado antes da instalação do pacote na instância de destino.</w:t>
      </w:r>
    </w:p>
    <w:p>
      <w:pPr>
        <w:pStyle w:val="BodyText"/>
      </w:pPr>
      <w:r>
        <w:rPr>
          <w:b/>
          <w:bCs/>
        </w:rPr>
        <w:t xml:space="preserve">Importante:</w:t>
      </w:r>
      <w:r>
        <w:t xml:space="preserve"> </w:t>
      </w:r>
      <w:r>
        <w:t xml:space="preserve">Antes de começar este procedimento, faça</w:t>
      </w:r>
      <w:r>
        <w:t xml:space="preserve"> </w:t>
      </w:r>
      <w:hyperlink r:id="rId21">
        <w:r>
          <w:rPr>
            <w:rStyle w:val="Hyperlink"/>
          </w:rPr>
          <w:t xml:space="preserve">backup do banco de dados</w:t>
        </w:r>
      </w:hyperlink>
      <w:r>
        <w:t xml:space="preserve">. A instalação do pacote não pode ser revertida. A única maneira de reverter uma instalação de pacote é restaurando o backup do banco de dados do</w:t>
      </w:r>
      <w:r>
        <w:t xml:space="preserve"> </w:t>
      </w:r>
      <w:r>
        <w:t xml:space="preserve">Archer</w:t>
      </w:r>
      <w:r>
        <w:t xml:space="preserve">.</w:t>
      </w:r>
    </w:p>
    <w:p>
      <w:pPr>
        <w:pStyle w:val="BodyText"/>
      </w:pPr>
      <w:r>
        <w:t xml:space="preserve">O processo de Instalar pacote é colocado na fila no mecanismo de trabalhos assíncronos. Esses trabalhos podem ser executados imediatamente, dependendo dos trabalhos que estão na fila no mecanismo de trabalhos. O processo Instalar pacote representa o usuário que executa a instalação. Assim, qualquer objeto modificado ou criado durante a instalação do pacote será associado a esse usuário.</w:t>
      </w:r>
    </w:p>
    <w:p>
      <w:pPr>
        <w:pStyle w:val="BodyText"/>
      </w:pPr>
      <w:r>
        <w:t xml:space="preserve">Os objetos são instalados na seguinte ordem:</w:t>
      </w:r>
    </w:p>
    <w:p>
      <w:pPr>
        <w:pStyle w:val="Compact"/>
        <w:numPr>
          <w:ilvl w:val="0"/>
          <w:numId w:val="1001"/>
        </w:numPr>
      </w:pPr>
      <w:r>
        <w:t xml:space="preserve">Aplicativos (e níveis do aplicativo)</w:t>
      </w:r>
    </w:p>
    <w:p>
      <w:pPr>
        <w:pStyle w:val="Compact"/>
        <w:numPr>
          <w:ilvl w:val="0"/>
          <w:numId w:val="1001"/>
        </w:numPr>
      </w:pPr>
      <w:r>
        <w:t xml:space="preserve">Questionários</w:t>
      </w:r>
    </w:p>
    <w:p>
      <w:pPr>
        <w:pStyle w:val="Compact"/>
        <w:numPr>
          <w:ilvl w:val="0"/>
          <w:numId w:val="1001"/>
        </w:numPr>
      </w:pPr>
      <w:r>
        <w:t xml:space="preserve">Subformulários</w:t>
      </w:r>
    </w:p>
    <w:p>
      <w:pPr>
        <w:pStyle w:val="Compact"/>
        <w:numPr>
          <w:ilvl w:val="0"/>
          <w:numId w:val="1001"/>
        </w:numPr>
      </w:pPr>
      <w:r>
        <w:t xml:space="preserve">Pastas</w:t>
      </w:r>
    </w:p>
    <w:p>
      <w:pPr>
        <w:pStyle w:val="Compact"/>
        <w:numPr>
          <w:ilvl w:val="0"/>
          <w:numId w:val="1001"/>
        </w:numPr>
      </w:pPr>
      <w:r>
        <w:t xml:space="preserve">Listas de valores de questionário</w:t>
      </w:r>
    </w:p>
    <w:p>
      <w:pPr>
        <w:pStyle w:val="Compact"/>
        <w:numPr>
          <w:ilvl w:val="0"/>
          <w:numId w:val="1001"/>
        </w:numPr>
      </w:pPr>
      <w:r>
        <w:t xml:space="preserve">Propriedades do filtro de perguntas</w:t>
      </w:r>
    </w:p>
    <w:p>
      <w:pPr>
        <w:pStyle w:val="Compact"/>
        <w:numPr>
          <w:ilvl w:val="0"/>
          <w:numId w:val="1001"/>
        </w:numPr>
      </w:pPr>
      <w:r>
        <w:t xml:space="preserve">Campos</w:t>
      </w:r>
    </w:p>
    <w:p>
      <w:pPr>
        <w:pStyle w:val="Compact"/>
        <w:numPr>
          <w:ilvl w:val="0"/>
          <w:numId w:val="1001"/>
        </w:numPr>
      </w:pPr>
      <w:r>
        <w:t xml:space="preserve">Relatórios</w:t>
      </w:r>
    </w:p>
    <w:p>
      <w:pPr>
        <w:pStyle w:val="Compact"/>
        <w:numPr>
          <w:ilvl w:val="0"/>
          <w:numId w:val="1001"/>
        </w:numPr>
      </w:pPr>
      <w:r>
        <w:t xml:space="preserve">Layout</w:t>
      </w:r>
    </w:p>
    <w:p>
      <w:pPr>
        <w:pStyle w:val="Compact"/>
        <w:numPr>
          <w:ilvl w:val="0"/>
          <w:numId w:val="1001"/>
        </w:numPr>
      </w:pPr>
      <w:r>
        <w:t xml:space="preserve">Ação do Workpoint (workflow avançado)</w:t>
      </w:r>
    </w:p>
    <w:p>
      <w:pPr>
        <w:pStyle w:val="Compact"/>
        <w:numPr>
          <w:ilvl w:val="0"/>
          <w:numId w:val="1001"/>
        </w:numPr>
      </w:pPr>
      <w:r>
        <w:t xml:space="preserve">Itens do Menu de navegação</w:t>
      </w:r>
    </w:p>
    <w:p>
      <w:pPr>
        <w:pStyle w:val="Compact"/>
        <w:numPr>
          <w:ilvl w:val="0"/>
          <w:numId w:val="1001"/>
        </w:numPr>
      </w:pPr>
      <w:r>
        <w:t xml:space="preserve">Fórmulas de cálculo</w:t>
      </w:r>
    </w:p>
    <w:p>
      <w:pPr>
        <w:pStyle w:val="Compact"/>
        <w:numPr>
          <w:ilvl w:val="0"/>
          <w:numId w:val="1001"/>
        </w:numPr>
      </w:pPr>
      <w:r>
        <w:t xml:space="preserve">Modelos de papel timbrado</w:t>
      </w:r>
    </w:p>
    <w:p>
      <w:pPr>
        <w:pStyle w:val="Compact"/>
        <w:numPr>
          <w:ilvl w:val="0"/>
          <w:numId w:val="1001"/>
        </w:numPr>
      </w:pPr>
      <w:r>
        <w:t xml:space="preserve">Notificações</w:t>
      </w:r>
    </w:p>
    <w:p>
      <w:pPr>
        <w:pStyle w:val="Compact"/>
        <w:numPr>
          <w:ilvl w:val="0"/>
          <w:numId w:val="1001"/>
        </w:numPr>
      </w:pPr>
      <w:r>
        <w:t xml:space="preserve">Workflows</w:t>
      </w:r>
    </w:p>
    <w:p>
      <w:pPr>
        <w:pStyle w:val="Compact"/>
        <w:numPr>
          <w:ilvl w:val="0"/>
          <w:numId w:val="1001"/>
        </w:numPr>
      </w:pPr>
      <w:r>
        <w:t xml:space="preserve">Ações de evento orientado por dados</w:t>
      </w:r>
    </w:p>
    <w:p>
      <w:pPr>
        <w:pStyle w:val="Compact"/>
        <w:numPr>
          <w:ilvl w:val="0"/>
          <w:numId w:val="1001"/>
        </w:numPr>
      </w:pPr>
      <w:r>
        <w:t xml:space="preserve">Regras de evento orientado por dados</w:t>
      </w:r>
    </w:p>
    <w:p>
      <w:pPr>
        <w:pStyle w:val="Compact"/>
        <w:numPr>
          <w:ilvl w:val="0"/>
          <w:numId w:val="1001"/>
        </w:numPr>
      </w:pPr>
      <w:r>
        <w:t xml:space="preserve">Campanhas de questionário</w:t>
      </w:r>
    </w:p>
    <w:p>
      <w:pPr>
        <w:pStyle w:val="Compact"/>
        <w:numPr>
          <w:ilvl w:val="0"/>
          <w:numId w:val="1001"/>
        </w:numPr>
      </w:pPr>
      <w:r>
        <w:t xml:space="preserve">Regras para exibir/ocultar o questionário</w:t>
      </w:r>
    </w:p>
    <w:p>
      <w:pPr>
        <w:pStyle w:val="Compact"/>
        <w:numPr>
          <w:ilvl w:val="0"/>
          <w:numId w:val="1001"/>
        </w:numPr>
      </w:pPr>
      <w:r>
        <w:t xml:space="preserve">Modelos de mala direta</w:t>
      </w:r>
    </w:p>
    <w:p>
      <w:pPr>
        <w:pStyle w:val="Compact"/>
        <w:numPr>
          <w:ilvl w:val="0"/>
          <w:numId w:val="1001"/>
        </w:numPr>
      </w:pPr>
      <w:r>
        <w:t xml:space="preserve">Instalação de repositório</w:t>
      </w:r>
    </w:p>
    <w:p>
      <w:pPr>
        <w:pStyle w:val="Compact"/>
        <w:numPr>
          <w:ilvl w:val="0"/>
          <w:numId w:val="1001"/>
        </w:numPr>
      </w:pPr>
      <w:r>
        <w:t xml:space="preserve">Funções de acesso</w:t>
      </w:r>
    </w:p>
    <w:p>
      <w:pPr>
        <w:pStyle w:val="Compact"/>
        <w:numPr>
          <w:ilvl w:val="0"/>
          <w:numId w:val="1001"/>
        </w:numPr>
      </w:pPr>
      <w:r>
        <w:t xml:space="preserve">Recursos</w:t>
      </w:r>
    </w:p>
    <w:p>
      <w:pPr>
        <w:pStyle w:val="Compact"/>
        <w:numPr>
          <w:ilvl w:val="0"/>
          <w:numId w:val="1001"/>
        </w:numPr>
      </w:pPr>
      <w:r>
        <w:t xml:space="preserve">Painéis de controle</w:t>
      </w:r>
    </w:p>
    <w:p>
      <w:pPr>
        <w:pStyle w:val="Compact"/>
        <w:numPr>
          <w:ilvl w:val="0"/>
          <w:numId w:val="1001"/>
        </w:numPr>
      </w:pPr>
      <w:r>
        <w:t xml:space="preserve">Espaços de trabalho</w:t>
      </w:r>
    </w:p>
    <w:p>
      <w:pPr>
        <w:pStyle w:val="FirstParagraph"/>
      </w:pPr>
      <w:r>
        <w:t xml:space="preserve">Todos os objetos da instância de origem são instalados na instância de destino, a não ser que o objeto não seja encontrado ou esteja marcado para não ser instalado na instância de destino. Uma lista de condições que podem fazer com que objetos não sejam instalados é fornecida na seção Mensagens do registro. Uma entrada de registro é exibida na seção Registro de instalação do pacote.</w:t>
      </w:r>
    </w:p>
    <w:bookmarkStart w:id="22" w:name="instalar-um-pacote"/>
    <w:p>
      <w:pPr>
        <w:pStyle w:val="Heading2"/>
      </w:pPr>
      <w:r>
        <w:t xml:space="preserve">Instalar um pacote</w:t>
      </w:r>
    </w:p>
    <w:p>
      <w:pPr>
        <w:pStyle w:val="FirstParagraph"/>
      </w:pPr>
      <w:r>
        <w:t xml:space="preserve">Se instalar um pacote que contém campos Permissões de registro, verifique se os usuários e grupos já existem na instância de destino. Caso não existam, esses campos poderiam não ser instalados adequadamente. Se necessário, crie os usuários e grupos na instância de destino antes de instalar o pacote.</w:t>
      </w:r>
    </w:p>
    <w:p>
      <w:pPr>
        <w:numPr>
          <w:ilvl w:val="0"/>
          <w:numId w:val="1002"/>
        </w:numPr>
      </w:pPr>
      <w:r>
        <w:t xml:space="preserve">Na barra de menus, clique em</w:t>
      </w:r>
      <w:r>
        <w:t xml:space="preserve"> </w:t>
      </w:r>
      <w:r>
        <w:t xml:space="preserve">menu Admin</w:t>
      </w:r>
      <w:r>
        <w:t xml:space="preserve">&gt; Application Builder &gt; Instalar pacotes.</w:t>
      </w:r>
    </w:p>
    <w:p>
      <w:pPr>
        <w:pStyle w:val="Compact"/>
        <w:numPr>
          <w:ilvl w:val="0"/>
          <w:numId w:val="1002"/>
        </w:numPr>
      </w:pPr>
      <w:r>
        <w:t xml:space="preserve">Na seção Pacotes disponíveis, localize o arquivo de pacote que deseja instalar e clique no nome do arquivo ou em</w:t>
      </w:r>
      <w:r>
        <w:t xml:space="preserve"> </w:t>
      </w:r>
      <w:r>
        <w:t xml:space="preserve">Importar</w:t>
      </w:r>
      <w:r>
        <w:t xml:space="preserve"> </w:t>
      </w:r>
      <w:r>
        <w:t xml:space="preserve">no final da linha para abrir o menu Opções.</w:t>
      </w:r>
      <w:r>
        <w:br/>
      </w:r>
    </w:p>
    <w:p>
      <w:pPr>
        <w:numPr>
          <w:ilvl w:val="0"/>
          <w:numId w:val="1002"/>
        </w:numPr>
      </w:pPr>
      <w:r>
        <w:t xml:space="preserve">Na seção Componentes selecionados, clique no botão Pesquisar para abrir a janela Seletor de pacotes.</w:t>
      </w:r>
    </w:p>
    <w:p>
      <w:pPr>
        <w:pStyle w:val="Compact"/>
        <w:numPr>
          <w:ilvl w:val="1"/>
          <w:numId w:val="1003"/>
        </w:numPr>
      </w:pPr>
      <w:r>
        <w:t xml:space="preserve">Para selecionar todos os componentes, marque a caixa de seleção superior.</w:t>
      </w:r>
    </w:p>
    <w:p>
      <w:pPr>
        <w:pStyle w:val="Compact"/>
        <w:numPr>
          <w:ilvl w:val="1"/>
          <w:numId w:val="1003"/>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2"/>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2"/>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quer adicionar recursos a um aplicativo, questionário, espaço de trabalho, painel de indicadores, feed de dados ou função de acesso, mas não quer se arriscar a fazer alterações indesejadas nos elementos atuais dos espaços de trabalho, feeds de dados ou painéis de indicadores.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2"/>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2"/>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2"/>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2"/>
        </w:numPr>
      </w:pPr>
      <w:r>
        <w:t xml:space="preserve">Clique em Instalar.</w:t>
      </w:r>
    </w:p>
    <w:p>
      <w:pPr>
        <w:pStyle w:val="Compact"/>
        <w:numPr>
          <w:ilvl w:val="0"/>
          <w:numId w:val="1002"/>
        </w:numPr>
      </w:pPr>
      <w:r>
        <w:t xml:space="preserve">Clique em OK.</w:t>
      </w:r>
    </w:p>
    <w:p>
      <w:pPr>
        <w:pStyle w:val="FirstParagraph"/>
      </w:pPr>
      <w:r>
        <w:rPr>
          <w:b/>
          <w:bCs/>
        </w:rPr>
        <w:t xml:space="preserve">Observação:</w:t>
      </w:r>
      <w:r>
        <w:t xml:space="preserve"> </w:t>
      </w:r>
      <w:r>
        <w:t xml:space="preserve">Os aplicativos instalados com sucesso só aparecerão na lista de aplicativos na próxima vez em que a página da Web for atualizada. Você pode atualizar a página manualmente no navegador da Web para exibir um novo aplicativo na lista imediatamente.</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kg_database_backing_up.htm" TargetMode="External" /></Relationships>
</file>

<file path=word/_rels/footnotes.xml.rels><?xml version="1.0" encoding="UTF-8"?><Relationships xmlns="http://schemas.openxmlformats.org/package/2006/relationships"><Relationship Type="http://schemas.openxmlformats.org/officeDocument/2006/relationships/hyperlink" Id="rId21" Target="pkg_database_backing_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2025-02-19T20:16:23Z</dcterms:created>
  <dcterms:modified xsi:type="dcterms:W3CDTF">2025-02-19T20:16:23Z</dcterms:modified>
</cp:coreProperties>
</file>

<file path=docProps/custom.xml><?xml version="1.0" encoding="utf-8"?>
<Properties xmlns="http://schemas.openxmlformats.org/officeDocument/2006/custom-properties" xmlns:vt="http://schemas.openxmlformats.org/officeDocument/2006/docPropsVTypes"/>
</file>