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bookmarkStart w:id="24" w:name="orientação-para-certificados-ssl-1"/>
    <w:p>
      <w:pPr>
        <w:pStyle w:val="Heading1"/>
      </w:pPr>
      <w:r>
        <w:t xml:space="preserve">Orientação para certificados SSL</w:t>
      </w:r>
    </w:p>
    <w:p>
      <w:pPr>
        <w:pStyle w:val="FirstParagraph"/>
      </w:pPr>
      <w:r>
        <w:t xml:space="preserve">Para habilitar a criptografia de campo no</w:t>
      </w:r>
      <w:r>
        <w:t xml:space="preserve"> </w:t>
      </w:r>
      <w:r>
        <w:t xml:space="preserve">Archer</w:t>
      </w:r>
      <w:r>
        <w:t xml:space="preserve">, é aconselhável que o certificado seja obtido de uma CA (Certificate Authority, autoridade de certificação) confiável. No entanto, você pode optar por gerar um certificado autoassinado.</w:t>
      </w:r>
    </w:p>
    <w:p>
      <w:pPr>
        <w:pStyle w:val="BodyText"/>
      </w:pPr>
      <w:r>
        <w:t xml:space="preserve">É recomendável o uso de um HSM (Hardware Security Module, módulo de segurança de hardware) para a criptografia de campo, em vez de um certificado em um armazenamento local.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a66d2426c3ee10316463f32cbb7019bcaaa59de">
        <w:r>
          <w:rPr>
            <w:rStyle w:val="Hyperlink"/>
          </w:rPr>
          <w:t xml:space="preserve">Requisitos de certificado para criptografia de campo</w:t>
        </w:r>
      </w:hyperlink>
    </w:p>
    <w:p>
      <w:pPr>
        <w:pStyle w:val="Compact"/>
        <w:numPr>
          <w:ilvl w:val="0"/>
          <w:numId w:val="1001"/>
        </w:numPr>
      </w:pPr>
      <w:hyperlink w:anchor="Xa95a81362558510bf883f2cd36119dced83ca87">
        <w:r>
          <w:rPr>
            <w:rStyle w:val="Hyperlink"/>
          </w:rPr>
          <w:t xml:space="preserve">Como proteger um certificado de criptografia de campo</w:t>
        </w:r>
      </w:hyperlink>
    </w:p>
    <w:bookmarkStart w:id="20" w:name="Xa66d2426c3ee10316463f32cbb7019bcaaa59de"/>
    <w:p>
      <w:pPr>
        <w:pStyle w:val="Heading2"/>
      </w:pPr>
      <w:r>
        <w:t xml:space="preserve">Requisitos de certificado para criptografia de campo</w:t>
      </w:r>
    </w:p>
    <w:p>
      <w:pPr>
        <w:pStyle w:val="FirstParagraph"/>
      </w:pPr>
      <w:r>
        <w:t xml:space="preserve">Os certificados devem atender aos seguintes requisitos:</w:t>
      </w:r>
    </w:p>
    <w:p>
      <w:pPr>
        <w:pStyle w:val="Compact"/>
        <w:numPr>
          <w:ilvl w:val="0"/>
          <w:numId w:val="1002"/>
        </w:numPr>
      </w:pPr>
      <w:r>
        <w:t xml:space="preserve">O certificado está presente na área de armazenamento da máquina local como um certificado pessoal.</w:t>
      </w:r>
    </w:p>
    <w:p>
      <w:pPr>
        <w:pStyle w:val="Compact"/>
        <w:numPr>
          <w:ilvl w:val="0"/>
          <w:numId w:val="1002"/>
        </w:numPr>
      </w:pPr>
      <w:r>
        <w:t xml:space="preserve">O certificado é exportável.</w:t>
      </w:r>
    </w:p>
    <w:p>
      <w:pPr>
        <w:pStyle w:val="Compact"/>
        <w:numPr>
          <w:ilvl w:val="0"/>
          <w:numId w:val="1002"/>
        </w:numPr>
      </w:pPr>
      <w:r>
        <w:t xml:space="preserve">O certificado não está expirado.</w:t>
      </w:r>
    </w:p>
    <w:p>
      <w:pPr>
        <w:pStyle w:val="Compact"/>
        <w:numPr>
          <w:ilvl w:val="0"/>
          <w:numId w:val="1002"/>
        </w:numPr>
      </w:pPr>
      <w:r>
        <w:t xml:space="preserve">O certificado tem um tamanho de chave de 2048 bits.</w:t>
      </w:r>
    </w:p>
    <w:p>
      <w:pPr>
        <w:pStyle w:val="Compact"/>
        <w:numPr>
          <w:ilvl w:val="0"/>
          <w:numId w:val="1002"/>
        </w:numPr>
      </w:pPr>
      <w:r>
        <w:t xml:space="preserve">O certificado tem uma chave privada.</w:t>
      </w:r>
    </w:p>
    <w:bookmarkEnd w:id="20"/>
    <w:bookmarkStart w:id="23" w:name="Xa95a81362558510bf883f2cd36119dced83ca87"/>
    <w:p>
      <w:pPr>
        <w:pStyle w:val="Heading2"/>
      </w:pPr>
      <w:r>
        <w:t xml:space="preserve">Como proteger um certificado de criptografia de campo</w:t>
      </w:r>
    </w:p>
    <w:p>
      <w:pPr>
        <w:pStyle w:val="FirstParagraph"/>
      </w:pPr>
      <w:r>
        <w:t xml:space="preserve">O certificado que está sendo usado para criptografia deve ter acesso muito limitado. Aqui estão algumas das medidas de segurança que devem ser tomadas para proteger o certificado:</w:t>
      </w:r>
    </w:p>
    <w:p>
      <w:pPr>
        <w:pStyle w:val="Compact"/>
        <w:numPr>
          <w:ilvl w:val="0"/>
          <w:numId w:val="1003"/>
        </w:numPr>
      </w:pPr>
      <w:r>
        <w:t xml:space="preserve">Conceder controle total e acesso de leitura ao certificado apenas para a conta de administrador. Todas as outras contas devem ter acesso somente leitura.</w:t>
      </w:r>
    </w:p>
    <w:p>
      <w:pPr>
        <w:pStyle w:val="Compact"/>
        <w:numPr>
          <w:ilvl w:val="0"/>
          <w:numId w:val="1003"/>
        </w:numPr>
      </w:pPr>
      <w:r>
        <w:t xml:space="preserve">Dar ao certificado acesso somente leitura às contas a seguir:</w:t>
      </w:r>
    </w:p>
    <w:p>
      <w:pPr>
        <w:pStyle w:val="Compact"/>
        <w:numPr>
          <w:ilvl w:val="1"/>
          <w:numId w:val="1004"/>
        </w:numPr>
      </w:pPr>
      <w:r>
        <w:t xml:space="preserve">Em um servidor que hospeda o aplicativo da Web do Archer, somente a conta AppPool usada pelo aplicativo da Web deve ter acesso (somente leitura) ao certificado.</w:t>
      </w:r>
    </w:p>
    <w:p>
      <w:pPr>
        <w:pStyle w:val="Compact"/>
        <w:numPr>
          <w:ilvl w:val="1"/>
          <w:numId w:val="1004"/>
        </w:numPr>
      </w:pPr>
      <w:r>
        <w:t xml:space="preserve">Em um servidor que hospeda serviços do Archer, por exemplo, serviço de configuração e framework de trabalho, somente as contas usadas pelos serviços devem ter acesso (somente leitura) ao certificado.</w:t>
      </w:r>
    </w:p>
    <w:p>
      <w:pPr>
        <w:pStyle w:val="Compact"/>
        <w:numPr>
          <w:ilvl w:val="0"/>
          <w:numId w:val="1003"/>
        </w:numPr>
      </w:pPr>
      <w:r>
        <w:t xml:space="preserve">Revogar o acesso de todas as contas que não são necessárias.</w:t>
      </w:r>
    </w:p>
    <w:p>
      <w:pPr>
        <w:pStyle w:val="Compact"/>
        <w:numPr>
          <w:ilvl w:val="0"/>
          <w:numId w:val="1003"/>
        </w:numPr>
      </w:pPr>
      <w:r>
        <w:t xml:space="preserve">Fazer backup do certificado de criptografia regularmente. O backup deve ser protegido por senha e armazenado em segurança.</w:t>
      </w:r>
    </w:p>
    <w:p>
      <w:pPr>
        <w:pStyle w:val="FirstParagraph"/>
      </w:pPr>
      <w:r>
        <w:t xml:space="preserve">Para obter recomendações sobre como gerar/instalar um certificado SSL usando o IIS, consulte a Microsoft TechNet Library.</w:t>
      </w:r>
    </w:p>
    <w:p>
      <w:pPr>
        <w:pStyle w:val="BodyText"/>
      </w:pPr>
      <w:r>
        <w:t xml:space="preserve">Para obter informações sobre as práticas recomendadas do setor, consulte:</w:t>
      </w:r>
    </w:p>
    <w:p>
      <w:pPr>
        <w:pStyle w:val="Compact"/>
        <w:numPr>
          <w:ilvl w:val="0"/>
          <w:numId w:val="1005"/>
        </w:numPr>
      </w:pPr>
      <w:hyperlink r:id="rId21">
        <w:r>
          <w:rPr>
            <w:rStyle w:val="Hyperlink"/>
          </w:rPr>
          <w:t xml:space="preserve">NIST SP 800-52</w:t>
        </w:r>
      </w:hyperlink>
    </w:p>
    <w:p>
      <w:pPr>
        <w:pStyle w:val="Compact"/>
        <w:numPr>
          <w:ilvl w:val="0"/>
          <w:numId w:val="1005"/>
        </w:numPr>
      </w:pPr>
      <w:hyperlink r:id="rId22">
        <w:r>
          <w:rPr>
            <w:rStyle w:val="Hyperlink"/>
          </w:rPr>
          <w:t xml:space="preserve">PCI-DSS v3.2.1 – Maio de 2018</w:t>
        </w:r>
      </w:hyperlink>
    </w:p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csrc.nist.gov/publications/detail/sp/800-52/rev-2/final" TargetMode="External" /><Relationship Type="http://schemas.openxmlformats.org/officeDocument/2006/relationships/hyperlink" Id="rId22" Target="https://www.pcisecuritystandards.org/security_standards/index.ph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csrc.nist.gov/publications/detail/sp/800-52/rev-2/final" TargetMode="External" /><Relationship Type="http://schemas.openxmlformats.org/officeDocument/2006/relationships/hyperlink" Id="rId22" Target="https://www.pcisecuritystandards.org/security_standards/index.ph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2025-02-19T20:18:22Z</dcterms:created>
  <dcterms:modified xsi:type="dcterms:W3CDTF">2025-02-19T20:18:22Z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