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mantendo-a-segurança"/>
    <w:p>
      <w:pPr>
        <w:pStyle w:val="Heading1"/>
      </w:pPr>
      <w:bookmarkStart w:id="20" w:name="aanchor177"/>
      <w:bookmarkEnd w:id="20"/>
      <w:r>
        <w:t xml:space="preserve"> </w:t>
      </w:r>
      <w:r>
        <w:t xml:space="preserve">Mantendo a segurança</w:t>
      </w:r>
    </w:p>
    <w:p>
      <w:pPr>
        <w:pStyle w:val="FirstParagraph"/>
      </w:pPr>
      <w:r>
        <w:t xml:space="preserve">Mantenha a segurança no seu ambiente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seguindo práticas recomendadas do setor.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Gerenciamentodepatchdeseguran%C3%A7a">
        <w:r>
          <w:rPr>
            <w:rStyle w:val="Hyperlink"/>
          </w:rPr>
          <w:t xml:space="preserve">Gerenciamento de patch de segurança</w:t>
        </w:r>
      </w:hyperlink>
    </w:p>
    <w:p>
      <w:pPr>
        <w:pStyle w:val="Compact"/>
        <w:numPr>
          <w:ilvl w:val="0"/>
          <w:numId w:val="1001"/>
        </w:numPr>
      </w:pPr>
      <w:hyperlink w:anchor="Detec%C3%A7%C3%A3odemalware">
        <w:r>
          <w:rPr>
            <w:rStyle w:val="Hyperlink"/>
          </w:rPr>
          <w:t xml:space="preserve">Detecção de malware</w:t>
        </w:r>
      </w:hyperlink>
    </w:p>
    <w:p>
      <w:pPr>
        <w:pStyle w:val="Compact"/>
        <w:numPr>
          <w:ilvl w:val="0"/>
          <w:numId w:val="1001"/>
        </w:numPr>
      </w:pPr>
      <w:hyperlink w:anchor="Varreduradev%C3%ADrus">
        <w:r>
          <w:rPr>
            <w:rStyle w:val="Hyperlink"/>
          </w:rPr>
          <w:t xml:space="preserve">Varredura de vírus</w:t>
        </w:r>
      </w:hyperlink>
    </w:p>
    <w:p>
      <w:pPr>
        <w:pStyle w:val="Compact"/>
        <w:numPr>
          <w:ilvl w:val="0"/>
          <w:numId w:val="1001"/>
        </w:numPr>
      </w:pPr>
      <w:hyperlink w:anchor="Monitoramentoeauditoriacont%C3%ADnuos">
        <w:r>
          <w:rPr>
            <w:rStyle w:val="Hyperlink"/>
          </w:rPr>
          <w:t xml:space="preserve">Monitoramento e auditoria contínuos</w:t>
        </w:r>
      </w:hyperlink>
    </w:p>
    <w:p>
      <w:pPr>
        <w:pStyle w:val="Compact"/>
        <w:numPr>
          <w:ilvl w:val="0"/>
          <w:numId w:val="1001"/>
        </w:numPr>
      </w:pPr>
      <w:hyperlink w:anchor="Prote%C3%A7%C3%A3odascredenciais">
        <w:r>
          <w:rPr>
            <w:rStyle w:val="Hyperlink"/>
          </w:rPr>
          <w:t xml:space="preserve">Proteção das credenciais</w:t>
        </w:r>
      </w:hyperlink>
    </w:p>
    <w:bookmarkStart w:id="22" w:name="Gerenciamentodepatchdesegurança"/>
    <w:p>
      <w:pPr>
        <w:pStyle w:val="Heading2"/>
      </w:pPr>
      <w:r>
        <w:t xml:space="preserve">Gerenciamento de patch de segurança</w:t>
      </w:r>
    </w:p>
    <w:p>
      <w:pPr>
        <w:pStyle w:val="FirstParagraph"/>
      </w:pPr>
      <w:r>
        <w:t xml:space="preserve">Os patches de segurança são lançados conforme necessário.</w:t>
      </w:r>
    </w:p>
    <w:p>
      <w:pPr>
        <w:pStyle w:val="BodyText"/>
      </w:pPr>
      <w:r>
        <w:t xml:space="preserve">Todos os patches de segurança do</w:t>
      </w:r>
      <w:r>
        <w:t xml:space="preserve"> </w:t>
      </w:r>
      <w:r>
        <w:t xml:space="preserve">Archer</w:t>
      </w:r>
      <w:r>
        <w:t xml:space="preserve"> </w:t>
      </w:r>
      <w:r>
        <w:t xml:space="preserve">estão disponíveis para download como uma atualização de clientes com um acordo de manutenção atual do</w:t>
      </w:r>
      <w:r>
        <w:t xml:space="preserve"> </w:t>
      </w:r>
      <w:r>
        <w:t xml:space="preserve">Archer</w:t>
      </w:r>
      <w:r>
        <w:t xml:space="preserve">. Há atualizações disponíveis em</w:t>
      </w:r>
      <w:r>
        <w:t xml:space="preserve"> </w:t>
      </w:r>
      <w:r>
        <w:t xml:space="preserve">Archer Community</w:t>
      </w:r>
      <w:r>
        <w:t xml:space="preserve">.</w:t>
      </w:r>
    </w:p>
    <w:p>
      <w:pPr>
        <w:pStyle w:val="BodyText"/>
      </w:pPr>
      <w:r>
        <w:t xml:space="preserve">Execute os patches de segurança mais recentes para qualquer software que você esteja usando com o</w:t>
      </w:r>
      <w:r>
        <w:t xml:space="preserve"> </w:t>
      </w:r>
      <w:r>
        <w:t xml:space="preserve">Archer</w:t>
      </w:r>
      <w:r>
        <w:t xml:space="preserve"> </w:t>
      </w:r>
      <w:r>
        <w:t xml:space="preserve">e certifique-se de usar o software compatível mais recente. Consulte</w:t>
      </w:r>
      <w:r>
        <w:t xml:space="preserve"> </w:t>
      </w:r>
      <w:hyperlink r:id="rId21">
        <w:r>
          <w:rPr>
            <w:rStyle w:val="Hyperlink"/>
          </w:rPr>
          <w:t xml:space="preserve">Ambientes qualificados e compatíveis do Archer</w:t>
        </w:r>
      </w:hyperlink>
      <w:r>
        <w:t xml:space="preserve"> </w:t>
      </w:r>
      <w:r>
        <w:t xml:space="preserve">para obter o software e os ambientes, navegadores e ferramentas qualificados e compatíveis. </w:t>
      </w:r>
    </w:p>
    <w:p>
      <w:pPr>
        <w:pStyle w:val="BodyText"/>
      </w:pPr>
      <w:r>
        <w:t xml:space="preserve">Aqui está uma lista de componentes de terceiros para os quais os patches são necessários. A frequência das atualizações do patch é determinada pelo fornecedor. É responsabilidade do cliente garantir que os componentes de terceiros sejam corrigidos conforme apropriado, usando as instruções fornecidas pelo fornecedor.</w:t>
      </w:r>
    </w:p>
    <w:p>
      <w:pPr>
        <w:numPr>
          <w:ilvl w:val="0"/>
          <w:numId w:val="1002"/>
        </w:numPr>
      </w:pPr>
      <w:r>
        <w:t xml:space="preserve">Windows Server</w:t>
      </w:r>
    </w:p>
    <w:p>
      <w:pPr>
        <w:numPr>
          <w:ilvl w:val="0"/>
          <w:numId w:val="1002"/>
        </w:numPr>
      </w:pPr>
      <w:r>
        <w:t xml:space="preserve">SQL Server</w:t>
      </w:r>
    </w:p>
    <w:p>
      <w:pPr>
        <w:numPr>
          <w:ilvl w:val="0"/>
          <w:numId w:val="1002"/>
        </w:numPr>
      </w:pPr>
      <w:r>
        <w:t xml:space="preserve">Microsoft IIS</w:t>
      </w:r>
    </w:p>
    <w:p>
      <w:pPr>
        <w:numPr>
          <w:ilvl w:val="0"/>
          <w:numId w:val="1002"/>
        </w:numPr>
      </w:pPr>
      <w:r>
        <w:t xml:space="preserve">.NET Framework</w:t>
      </w:r>
    </w:p>
    <w:bookmarkEnd w:id="22"/>
    <w:bookmarkStart w:id="23" w:name="Detecçãodemalware"/>
    <w:p>
      <w:pPr>
        <w:pStyle w:val="Heading2"/>
      </w:pPr>
      <w:r>
        <w:t xml:space="preserve">Detecção de malware</w:t>
      </w:r>
    </w:p>
    <w:p>
      <w:pPr>
        <w:pStyle w:val="FirstParagraph"/>
      </w:pPr>
      <w:r>
        <w:t xml:space="preserve">Implemente uma solução de detecção de malware nos servidores da Web e de banco de dados. A solução de detecção de malware deve ser baseada em suas ferramentas padrão e práticas recomendadas. É de sua responsabilidade a implementação de patches e atualizações para as ferramentas de detecção de malware.</w:t>
      </w:r>
    </w:p>
    <w:bookmarkEnd w:id="23"/>
    <w:bookmarkStart w:id="24" w:name="Varreduradevírus"/>
    <w:p>
      <w:pPr>
        <w:pStyle w:val="Heading2"/>
      </w:pPr>
      <w:r>
        <w:t xml:space="preserve">Varredura de vírus</w:t>
      </w:r>
    </w:p>
    <w:p>
      <w:pPr>
        <w:pStyle w:val="FirstParagraph"/>
      </w:pPr>
      <w:r>
        <w:t xml:space="preserve">Execute um software de varredura de vírus nos servidores implementados de modo rotineiro. Se você estiver executando Alimentadores de ameaça ou de vulnerabilidade, é altamente recomendável que você desative a verificação de vírus na pasta em que os arquivos de dados de ameaça ou de vulnerabilidade estão temporariamente armazenados. O mecanismo de verificação de vírus pode interpretar os dados como um vírus ou malware.</w:t>
      </w:r>
    </w:p>
    <w:bookmarkEnd w:id="24"/>
    <w:bookmarkStart w:id="25" w:name="Monitoramentoeauditoriacontínuos"/>
    <w:p>
      <w:pPr>
        <w:pStyle w:val="Heading2"/>
      </w:pPr>
      <w:r>
        <w:t xml:space="preserve">Monitoramento e auditoria contínuos</w:t>
      </w:r>
    </w:p>
    <w:p>
      <w:pPr>
        <w:pStyle w:val="FirstParagraph"/>
      </w:pPr>
      <w:r>
        <w:t xml:space="preserve">Como com qualquer componente essencial de infraestrutura, monitore constantemente o sistema e realize auditorias periódicas e aleatórias. Assegure-se de que as configurações e definições de acesso do usuário sejam compatíveis com as políticas e necessidades de sua empresa.</w:t>
      </w:r>
    </w:p>
    <w:bookmarkEnd w:id="25"/>
    <w:bookmarkStart w:id="26" w:name="Proteçãodascredenciais"/>
    <w:p>
      <w:pPr>
        <w:pStyle w:val="Heading2"/>
      </w:pPr>
      <w:r>
        <w:t xml:space="preserve">Proteção das credenciais</w:t>
      </w:r>
    </w:p>
    <w:p>
      <w:pPr>
        <w:pStyle w:val="FirstParagraph"/>
      </w:pPr>
      <w:r>
        <w:t xml:space="preserve">A seleção do algoritmo de hash para credenciais usa o algoritmo PBKDF2 com um tamanho de salt gerado aleatoriamente.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qse/Archer_QS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qse/Archer_QS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2025-03-06T16:42:51Z</dcterms:created>
  <dcterms:modified xsi:type="dcterms:W3CDTF">2025-03-06T16:42:51Z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