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registros"/>
    <w:p>
      <w:pPr>
        <w:pStyle w:val="Heading1"/>
      </w:pPr>
      <w:r>
        <w:t xml:space="preserve">Registros</w:t>
      </w:r>
    </w:p>
    <w:p>
      <w:pPr>
        <w:pStyle w:val="FirstParagraph"/>
      </w:pPr>
      <w:r>
        <w:t xml:space="preserve">A Archer lançou a Próxima Geração da página de registro Archer.</w:t>
      </w:r>
    </w:p>
    <w:p>
      <w:pPr>
        <w:pStyle w:val="BodyText"/>
      </w:pPr>
      <w:r>
        <w:t xml:space="preserve">Você pode continuar usando a página de Registro Clássico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2025-03-06T16:42:59Z</dcterms:created>
  <dcterms:modified xsi:type="dcterms:W3CDTF">2025-03-06T16:42:59Z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