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mc-main-content"/>
    <w:bookmarkStart w:id="60" w:name="X67d1b9a44b54a2b9c4eb1deea0057317603d1f8"/>
    <w:p>
      <w:pPr>
        <w:pStyle w:val="Heading1"/>
      </w:pPr>
      <w:r>
        <w:t xml:space="preserve">Página de listagem de aplicativos: Com o que você precisa de ajuda?</w:t>
      </w:r>
    </w:p>
    <w:p>
      <w:pPr>
        <w:pStyle w:val="FirstParagraph"/>
      </w:pPr>
      <w:r>
        <w:t xml:space="preserve">Você pode ter acessado este tópico de ajuda a partir de uma página de listagem de aplicativos. Esta página exibe registros em um aplicativo específico.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7" w:name="Precisodeajudaparausarainterface"/>
    <w:p>
      <w:pPr>
        <w:pStyle w:val="Heading2"/>
      </w:pPr>
      <w:r>
        <w:t xml:space="preserve">Preciso de ajuda para usar a interface</w:t>
      </w:r>
    </w:p>
    <w:p>
      <w:pPr>
        <w:pStyle w:val="FirstParagraph"/>
      </w:pPr>
      <w:r>
        <w:t xml:space="preserve">A página de listagem de aplicativos exibe os registros desse aplicativo. Por padrão, cada página mostra 50 registros. Use os controles na parte inferior da página para visualizar registros adicionais.</w:t>
      </w:r>
    </w:p>
    <w:p>
      <w:pPr>
        <w:pStyle w:val="BodyText"/>
      </w:pPr>
      <w:r>
        <w:t xml:space="preserve">Um diagrama da página de registro no Archer.</w:t>
      </w:r>
      <w:r>
        <w:t xml:space="preserve"> </w:t>
      </w:r>
    </w:p>
    <w:p>
      <w:pPr>
        <w:pStyle w:val="BodyText"/>
      </w:pPr>
      <w:r>
        <w:t xml:space="preserve">Clique em um registro individual</w:t>
      </w:r>
      <w:r>
        <w:t xml:space="preserve"> </w:t>
      </w:r>
      <w:r>
        <w:t xml:space="preserve"> </w:t>
      </w:r>
      <w:r>
        <w:t xml:space="preserve">para visualizar ou editar o registro. Para criar um novo registro, clique no menu ...</w:t>
      </w:r>
      <w:r>
        <w:t xml:space="preserve"> </w:t>
      </w:r>
      <w:r>
        <w:t xml:space="preserve"> </w:t>
      </w:r>
      <w:r>
        <w:t xml:space="preserve">e selecione Novo registro.</w:t>
      </w:r>
    </w:p>
    <w:p>
      <w:pPr>
        <w:pStyle w:val="BodyText"/>
      </w:pPr>
      <w:r>
        <w:t xml:space="preserve">Use os</w:t>
      </w:r>
      <w:r>
        <w:t xml:space="preserve"> </w:t>
      </w:r>
      <w:hyperlink r:id="rId20">
        <w:r>
          <w:rPr>
            <w:rStyle w:val="Hyperlink"/>
          </w:rPr>
          <w:t xml:space="preserve">filtros Refinar por</w:t>
        </w:r>
      </w:hyperlink>
      <w:r>
        <w:t xml:space="preserve"> </w:t>
      </w:r>
      <w:r>
        <w:t xml:space="preserve"> </w:t>
      </w:r>
      <w:r>
        <w:t xml:space="preserve">para exibir somente registros específicos no aplicativo.</w:t>
      </w:r>
    </w:p>
    <w:p>
      <w:pPr>
        <w:pStyle w:val="BodyText"/>
      </w:pPr>
      <w:r>
        <w:t xml:space="preserve">Você pode</w:t>
      </w:r>
      <w:r>
        <w:t xml:space="preserve"> </w:t>
      </w:r>
      <w:hyperlink r:id="rId21">
        <w:r>
          <w:rPr>
            <w:rStyle w:val="Hyperlink"/>
          </w:rPr>
          <w:t xml:space="preserve">exportar</w:t>
        </w:r>
      </w:hyperlink>
      <w:r>
        <w:t xml:space="preserve"> </w:t>
      </w:r>
      <w:r>
        <w:t xml:space="preserve">registros</w:t>
      </w:r>
      <w:r>
        <w:t xml:space="preserve"> </w:t>
      </w:r>
      <w:r>
        <w:t xml:space="preserve"> </w:t>
      </w:r>
      <w:r>
        <w:t xml:space="preserve">e, no menu ...</w:t>
      </w:r>
      <w:r>
        <w:t xml:space="preserve"> </w:t>
      </w:r>
      <w:r>
        <w:t xml:space="preserve">, você pode</w:t>
      </w:r>
      <w:r>
        <w:t xml:space="preserve"> </w:t>
      </w:r>
      <w:hyperlink r:id="rId22">
        <w:r>
          <w:rPr>
            <w:rStyle w:val="Hyperlink"/>
          </w:rPr>
          <w:t xml:space="preserve">importar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imprimir</w:t>
        </w:r>
      </w:hyperlink>
      <w:r>
        <w:t xml:space="preserve"> </w:t>
      </w:r>
      <w:r>
        <w:t xml:space="preserve">e visualizar agendamentos. Você pode gerenciar colunas</w:t>
      </w:r>
      <w:r>
        <w:t xml:space="preserve"> </w:t>
      </w:r>
      <w:r>
        <w:t xml:space="preserve"> </w:t>
      </w:r>
      <w:r>
        <w:t xml:space="preserve">para exibir campos diferentes no aplicativo. No menu Opções</w:t>
      </w:r>
      <w:r>
        <w:t xml:space="preserve"> </w:t>
      </w:r>
      <w:r>
        <w:t xml:space="preserve">, habilite</w:t>
      </w:r>
      <w:r>
        <w:t xml:space="preserve"> </w:t>
      </w:r>
      <w:hyperlink r:id="rId24">
        <w:r>
          <w:rPr>
            <w:rStyle w:val="Hyperlink"/>
          </w:rPr>
          <w:t xml:space="preserve">excluir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edição em linha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atualização em massa</w:t>
        </w:r>
      </w:hyperlink>
      <w:r>
        <w:t xml:space="preserve"> </w:t>
      </w:r>
      <w:r>
        <w:t xml:space="preserve">e</w:t>
      </w:r>
      <w:r>
        <w:t xml:space="preserve"> </w:t>
      </w:r>
      <w:hyperlink r:id="rId24">
        <w:r>
          <w:rPr>
            <w:rStyle w:val="Hyperlink"/>
          </w:rPr>
          <w:t xml:space="preserve">criação em massa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botões Salvar / Modificar / Novo relatório / Relatórios relacionados são exibidos poque a página de listagem de aplicativos é uma</w:t>
      </w:r>
      <w:r>
        <w:t xml:space="preserve"> </w:t>
      </w:r>
      <w:hyperlink r:id="rId26">
        <w:r>
          <w:rPr>
            <w:rStyle w:val="Hyperlink"/>
          </w:rPr>
          <w:t xml:space="preserve">página de Resultados da pesquisa</w:t>
        </w:r>
      </w:hyperlink>
      <w:r>
        <w:t xml:space="preserve">. Você pode modificar os critérios de pesquisa e salvar seus resultados como um relatório pessoal.</w:t>
      </w:r>
    </w:p>
    <w:bookmarkEnd w:id="27"/>
    <w:bookmarkStart w:id="59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28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29" w:name="A"/>
            <w:bookmarkEnd w:id="29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30"/>
          </w:p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7" w:name="B"/>
            <w:bookmarkEnd w:id="37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9" w:name="C"/>
            <w:bookmarkEnd w:id="39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1" w:name="D"/>
            <w:bookmarkEnd w:id="41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2" w:name="E"/>
            <w:bookmarkEnd w:id="42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3" w:name="F"/>
            <w:bookmarkEnd w:id="43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4" w:name="G"/>
            <w:bookmarkEnd w:id="44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5" w:name="H"/>
            <w:bookmarkEnd w:id="45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6" w:name="I"/>
            <w:bookmarkEnd w:id="46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7" w:name="L"/>
            <w:bookmarkEnd w:id="47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8" w:name="M"/>
            <w:bookmarkEnd w:id="48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9" w:name="N"/>
            <w:bookmarkEnd w:id="49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0" w:name="O"/>
            <w:bookmarkEnd w:id="50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1" w:name="P"/>
            <w:bookmarkEnd w:id="51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2" w:name="Q"/>
            <w:bookmarkEnd w:id="52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3" w:name="R"/>
            <w:bookmarkEnd w:id="53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4" w:name="S"/>
            <w:bookmarkEnd w:id="54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5" w:name="T"/>
            <w:bookmarkEnd w:id="55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6" w:name="U"/>
            <w:bookmarkEnd w:id="56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7" w:name="V"/>
            <w:bookmarkEnd w:id="57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8" w:name="Z"/>
            <w:bookmarkEnd w:id="58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59"/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applications/app_inline_editing.htm" TargetMode="External" /><Relationship Type="http://schemas.openxmlformats.org/officeDocument/2006/relationships/hyperlink" Id="rId24" Target="../recordclassic/rec_classic_bulk_actions_basics.htm" TargetMode="External" /><Relationship Type="http://schemas.openxmlformats.org/officeDocument/2006/relationships/hyperlink" Id="rId22" Target="../recordclassic/rec_classic_data_import.htm" TargetMode="External" /><Relationship Type="http://schemas.openxmlformats.org/officeDocument/2006/relationships/hyperlink" Id="rId21" Target="../recordclassic/rec_classic_record_exporting_standard_mthd.htm" TargetMode="External" /><Relationship Type="http://schemas.openxmlformats.org/officeDocument/2006/relationships/hyperlink" Id="rId23" Target="../recordclassic/rec_classic_record_printing.htm" TargetMode="External" /><Relationship Type="http://schemas.openxmlformats.org/officeDocument/2006/relationships/hyperlink" Id="rId26" Target="../searchclassic/srchrpt_classic_search_results_basics.htm" TargetMode="External" /><Relationship Type="http://schemas.openxmlformats.org/officeDocument/2006/relationships/hyperlink" Id="rId20" Target="../searchclassic/srchrpt_classic_search_results_refine_by_properties.htm" TargetMode="External" /><Relationship Type="http://schemas.openxmlformats.org/officeDocument/2006/relationships/hyperlink" Id="rId33" Target="https://help.archerirm.cloud/archer_suite_help/en-us/Content/PortalHome/SolutionsHome/am_basics_home.htm" TargetMode="External" /><Relationship Type="http://schemas.openxmlformats.org/officeDocument/2006/relationships/hyperlink" Id="rId30" Target="https://help.archerirm.cloud/archer_suite_help/en-us/Content/PortalHome/SolutionsHome/br_basics_home.htm" TargetMode="External" /><Relationship Type="http://schemas.openxmlformats.org/officeDocument/2006/relationships/hyperlink" Id="rId35" Target="https://help.archerirm.cloud/archer_suite_help/en-us/Content/PortalHome/SolutionsHome/eorm_basics_home.htm" TargetMode="External" /><Relationship Type="http://schemas.openxmlformats.org/officeDocument/2006/relationships/hyperlink" Id="rId38" Target="https://help.archerirm.cloud/archer_suite_help/en-us/Content/PortalHome/SolutionsHome/esg_basics_home.htm" TargetMode="External" /><Relationship Type="http://schemas.openxmlformats.org/officeDocument/2006/relationships/hyperlink" Id="rId32" Target="https://help.archerirm.cloud/archer_suite_help/en-us/Content/PortalHome/SolutionsHome/itsrm_basics_home.htm" TargetMode="External" /><Relationship Type="http://schemas.openxmlformats.org/officeDocument/2006/relationships/hyperlink" Id="rId31" Target="https://help.archerirm.cloud/archer_suite_help/en-us/Content/PortalHome/SolutionsHome/pubsec_basics_home.htm" TargetMode="External" /><Relationship Type="http://schemas.openxmlformats.org/officeDocument/2006/relationships/hyperlink" Id="rId34" Target="https://help.archerirm.cloud/archer_suite_help/en-us/Content/PortalHome/SolutionsHome/rccm_basics_home.htm" TargetMode="External" /><Relationship Type="http://schemas.openxmlformats.org/officeDocument/2006/relationships/hyperlink" Id="rId36" Target="https://help.archerirm.cloud/archer_suite_help/en-us/Content/PortalHome/SolutionsHome/tpg_basics_home.htm" TargetMode="External" /><Relationship Type="http://schemas.openxmlformats.org/officeDocument/2006/relationships/hyperlink" Id="rId28" Target="https://help.archerirm.cloud/archer_suite_help/en-us/Content/portal_home.htm" TargetMode="External" /><Relationship Type="http://schemas.openxmlformats.org/officeDocument/2006/relationships/hyperlink" Id="rId40" Target="https://help.archerirm.cloud/insight_61301/Content/Insight/archer_insigh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applications/app_inline_editing.htm" TargetMode="External" /><Relationship Type="http://schemas.openxmlformats.org/officeDocument/2006/relationships/hyperlink" Id="rId24" Target="../recordclassic/rec_classic_bulk_actions_basics.htm" TargetMode="External" /><Relationship Type="http://schemas.openxmlformats.org/officeDocument/2006/relationships/hyperlink" Id="rId22" Target="../recordclassic/rec_classic_data_import.htm" TargetMode="External" /><Relationship Type="http://schemas.openxmlformats.org/officeDocument/2006/relationships/hyperlink" Id="rId21" Target="../recordclassic/rec_classic_record_exporting_standard_mthd.htm" TargetMode="External" /><Relationship Type="http://schemas.openxmlformats.org/officeDocument/2006/relationships/hyperlink" Id="rId23" Target="../recordclassic/rec_classic_record_printing.htm" TargetMode="External" /><Relationship Type="http://schemas.openxmlformats.org/officeDocument/2006/relationships/hyperlink" Id="rId26" Target="../searchclassic/srchrpt_classic_search_results_basics.htm" TargetMode="External" /><Relationship Type="http://schemas.openxmlformats.org/officeDocument/2006/relationships/hyperlink" Id="rId20" Target="../searchclassic/srchrpt_classic_search_results_refine_by_properties.htm" TargetMode="External" /><Relationship Type="http://schemas.openxmlformats.org/officeDocument/2006/relationships/hyperlink" Id="rId33" Target="https://help.archerirm.cloud/archer_suite_help/en-us/Content/PortalHome/SolutionsHome/am_basics_home.htm" TargetMode="External" /><Relationship Type="http://schemas.openxmlformats.org/officeDocument/2006/relationships/hyperlink" Id="rId30" Target="https://help.archerirm.cloud/archer_suite_help/en-us/Content/PortalHome/SolutionsHome/br_basics_home.htm" TargetMode="External" /><Relationship Type="http://schemas.openxmlformats.org/officeDocument/2006/relationships/hyperlink" Id="rId35" Target="https://help.archerirm.cloud/archer_suite_help/en-us/Content/PortalHome/SolutionsHome/eorm_basics_home.htm" TargetMode="External" /><Relationship Type="http://schemas.openxmlformats.org/officeDocument/2006/relationships/hyperlink" Id="rId38" Target="https://help.archerirm.cloud/archer_suite_help/en-us/Content/PortalHome/SolutionsHome/esg_basics_home.htm" TargetMode="External" /><Relationship Type="http://schemas.openxmlformats.org/officeDocument/2006/relationships/hyperlink" Id="rId32" Target="https://help.archerirm.cloud/archer_suite_help/en-us/Content/PortalHome/SolutionsHome/itsrm_basics_home.htm" TargetMode="External" /><Relationship Type="http://schemas.openxmlformats.org/officeDocument/2006/relationships/hyperlink" Id="rId31" Target="https://help.archerirm.cloud/archer_suite_help/en-us/Content/PortalHome/SolutionsHome/pubsec_basics_home.htm" TargetMode="External" /><Relationship Type="http://schemas.openxmlformats.org/officeDocument/2006/relationships/hyperlink" Id="rId34" Target="https://help.archerirm.cloud/archer_suite_help/en-us/Content/PortalHome/SolutionsHome/rccm_basics_home.htm" TargetMode="External" /><Relationship Type="http://schemas.openxmlformats.org/officeDocument/2006/relationships/hyperlink" Id="rId36" Target="https://help.archerirm.cloud/archer_suite_help/en-us/Content/PortalHome/SolutionsHome/tpg_basics_home.htm" TargetMode="External" /><Relationship Type="http://schemas.openxmlformats.org/officeDocument/2006/relationships/hyperlink" Id="rId28" Target="https://help.archerirm.cloud/archer_suite_help/en-us/Content/portal_home.htm" TargetMode="External" /><Relationship Type="http://schemas.openxmlformats.org/officeDocument/2006/relationships/hyperlink" Id="rId40" Target="https://help.archerirm.cloud/insight_61301/Content/Insight/archer_insigh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2025-02-19T20:19:01Z</dcterms:created>
  <dcterms:modified xsi:type="dcterms:W3CDTF">2025-02-19T20:19:01Z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