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visualização-de-relacionamento-clássico"/>
    <w:p>
      <w:pPr>
        <w:pStyle w:val="Heading1"/>
      </w:pPr>
      <w:bookmarkStart w:id="20" w:name="aanchor108"/>
      <w:bookmarkEnd w:id="20"/>
      <w:r>
        <w:t xml:space="preserve"> </w:t>
      </w:r>
      <w:r>
        <w:t xml:space="preserve">Visualização de relacionamento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No</w:t>
      </w:r>
      <w:r>
        <w:t xml:space="preserve"> </w:t>
      </w:r>
      <w:r>
        <w:t xml:space="preserve">Archer</w:t>
      </w:r>
      <w:r>
        <w:t xml:space="preserve">, os registros podem ser relacionados e ter referência cruzada em diferentes aplicativos, questionários e subformulários. A Visualização de relações fornece uma forma eficiente de ver o relacionamento dos registros entre si conforme eles se relacionam com seus processos de negócios, para que você possa tomar decisões estratégicas informadas em seus negócios.</w:t>
      </w:r>
    </w:p>
    <w:p>
      <w:pPr>
        <w:pStyle w:val="BodyText"/>
      </w:pPr>
      <w:r>
        <w:t xml:space="preserve">A visualização de relacionamento requer um navegador compatível com HTML 5 e requer configuração mínima.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2ead92df7020fa5c9e33856f39be8f5c9f58da">
        <w:r>
          <w:rPr>
            <w:rStyle w:val="Hyperlink"/>
          </w:rPr>
          <w:t xml:space="preserve">Benefícios da visualização de relações</w:t>
        </w:r>
      </w:hyperlink>
    </w:p>
    <w:p>
      <w:pPr>
        <w:pStyle w:val="Compact"/>
        <w:numPr>
          <w:ilvl w:val="0"/>
          <w:numId w:val="1001"/>
        </w:numPr>
      </w:pPr>
      <w:hyperlink w:anchor="Camposeformatosdecampocompat%C3%ADveis">
        <w:r>
          <w:rPr>
            <w:rStyle w:val="Hyperlink"/>
          </w:rPr>
          <w:t xml:space="preserve">Campos e formatos de campo compatíveis</w:t>
        </w:r>
      </w:hyperlink>
    </w:p>
    <w:p>
      <w:pPr>
        <w:pStyle w:val="Compact"/>
        <w:numPr>
          <w:ilvl w:val="0"/>
          <w:numId w:val="1001"/>
        </w:numPr>
      </w:pPr>
      <w:hyperlink w:anchor="Tiposdecamposn%C3%A3ocompat%C3%ADveis">
        <w:r>
          <w:rPr>
            <w:rStyle w:val="Hyperlink"/>
          </w:rPr>
          <w:t xml:space="preserve">Tipos de campos não compatíveis</w:t>
        </w:r>
      </w:hyperlink>
    </w:p>
    <w:bookmarkStart w:id="23" w:name="Benefíciosdavisualizaçãoderelações"/>
    <w:p>
      <w:pPr>
        <w:pStyle w:val="Heading2"/>
      </w:pPr>
      <w:r>
        <w:t xml:space="preserve">Benefícios da visualização de relações</w:t>
      </w:r>
    </w:p>
    <w:p>
      <w:pPr>
        <w:pStyle w:val="FirstParagraph"/>
      </w:pPr>
      <w:r>
        <w:t xml:space="preserve">Os principais benefícios da visualização de relações são:</w:t>
      </w:r>
    </w:p>
    <w:p>
      <w:pPr>
        <w:pStyle w:val="Compact"/>
        <w:numPr>
          <w:ilvl w:val="0"/>
          <w:numId w:val="1002"/>
        </w:numPr>
      </w:pPr>
      <w:r>
        <w:t xml:space="preserve">Usar os dados de modo mais rápido e fácil.</w:t>
      </w:r>
    </w:p>
    <w:p>
      <w:pPr>
        <w:pStyle w:val="Compact"/>
        <w:numPr>
          <w:ilvl w:val="0"/>
          <w:numId w:val="1002"/>
        </w:numPr>
      </w:pPr>
      <w:r>
        <w:t xml:space="preserve">Navegar nas estruturas de relações complexas para que você possa se concentrar nas informações que você deseja.</w:t>
      </w:r>
    </w:p>
    <w:p>
      <w:pPr>
        <w:pStyle w:val="Compact"/>
        <w:numPr>
          <w:ilvl w:val="0"/>
          <w:numId w:val="1002"/>
        </w:numPr>
      </w:pPr>
      <w:r>
        <w:t xml:space="preserve">Detectar informações à medida que navega visualmente pela estrutura de relações.</w:t>
      </w:r>
    </w:p>
    <w:bookmarkEnd w:id="23"/>
    <w:bookmarkStart w:id="24" w:name="Camposeformatosdecampocompatíveis"/>
    <w:p>
      <w:pPr>
        <w:pStyle w:val="Heading2"/>
      </w:pPr>
      <w:r>
        <w:t xml:space="preserve">Campos e formatos de campo compatíveis</w:t>
      </w:r>
    </w:p>
    <w:p>
      <w:pPr>
        <w:pStyle w:val="TableCaption"/>
      </w:pPr>
      <w:r>
        <w:t xml:space="preserve">A tabela a seguir lista os tipos de campo aceitos no nó de registro e na lista de exibição, bem como o formato em que cada um é exibido na página Visualização de relações.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tipos de campo aceitos no nó de registro e na lista de exibição, bem como o formato em que cada um é exibido na página Visualização de relaçõe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Exibição de nó</w:t>
            </w:r>
          </w:p>
        </w:tc>
        <w:tc>
          <w:tcPr/>
          <w:p>
            <w:pPr>
              <w:pStyle w:val="BodyText"/>
            </w:pPr>
            <w:r>
              <w:t xml:space="preserve">Formato de nó</w:t>
            </w:r>
          </w:p>
        </w:tc>
        <w:tc>
          <w:tcPr/>
          <w:p>
            <w:pPr>
              <w:pStyle w:val="BodyText"/>
            </w:pPr>
            <w:r>
              <w:t xml:space="preserve">Lista de exibição</w:t>
            </w:r>
          </w:p>
        </w:tc>
        <w:tc>
          <w:tcPr/>
          <w:p>
            <w:pPr>
              <w:pStyle w:val="BodyText"/>
            </w:pPr>
            <w:r>
              <w:t xml:space="preserve">Formato de exibição</w:t>
            </w:r>
          </w:p>
        </w:tc>
        <w:tc>
          <w:tcPr/>
          <w:p>
            <w:pPr>
              <w:pStyle w:val="BodyText"/>
            </w:pPr>
            <w:r>
              <w:t xml:space="preserve">Exemplo/comentários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  <w:r>
              <w:br/>
            </w:r>
            <w:r>
              <w:t xml:space="preserve">Data/Hora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  <w:r>
              <w:br/>
            </w:r>
            <w:r>
              <w:t xml:space="preserve">Data/Hora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Nome (vinculado ao hiperlink)</w:t>
            </w:r>
          </w:p>
        </w:tc>
        <w:tc>
          <w:tcPr/>
          <w:p>
            <w:pPr>
              <w:pStyle w:val="BodyText"/>
            </w:pPr>
            <w:r>
              <w:t xml:space="preserve">Direciona para o Office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Igual ao formato de exibição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Igual ao formato de exibição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Sem formatação especial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Sem formatação especial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usuários/grupos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Classificada em ordem alfabética dentro de cada categoria</w:t>
            </w:r>
          </w:p>
          <w:p>
            <w:pPr>
              <w:pStyle w:val="BodyText"/>
            </w:pPr>
            <w:r>
              <w:t xml:space="preserve">Smith, Joe; Wilson, Sally; Proprietários de BCM;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Lista de valores de texto delimitada por ponto-e-vírgula</w:t>
            </w:r>
            <w:r>
              <w:br/>
            </w:r>
            <w:r>
              <w:t xml:space="preserve">Lista de valores hierárquicos delimitada por dois-pontos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Lista de valores de texto delimitada por ponto-e-vírgula</w:t>
            </w:r>
            <w:r>
              <w:br/>
            </w:r>
            <w:r>
              <w:t xml:space="preserve">Lista de valores hierárquicos delimitada por dois-pontos</w:t>
            </w:r>
          </w:p>
        </w:tc>
        <w:tc>
          <w:tcPr/>
          <w:p>
            <w:pPr>
              <w:pStyle w:val="BodyText"/>
            </w:pPr>
            <w:r>
              <w:t xml:space="preserve">Midwest; Northeast; Southwest:Arizona; Southwest:California;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  <w:r>
              <w:t xml:space="preserve">Classificados em ordem alfabética dentro de cada categoria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  <w:r>
              <w:t xml:space="preserve">Classificados em ordem alfabética dentro de cada categoria</w:t>
            </w:r>
          </w:p>
        </w:tc>
        <w:tc>
          <w:tcPr/>
          <w:p>
            <w:pPr>
              <w:pStyle w:val="BodyText"/>
            </w:pPr>
            <w:r>
              <w:t xml:space="preserve">Classificada em ordem alfabética dentro de cada categoria</w:t>
            </w:r>
          </w:p>
          <w:p>
            <w:pPr>
              <w:pStyle w:val="BodyText"/>
            </w:pPr>
            <w:r>
              <w:t xml:space="preserve">Smith, Joe; Wilson, Sally; Proprietários de BCM;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primeira publicação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Valor da string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Valor da string</w:t>
            </w:r>
          </w:p>
        </w:tc>
        <w:tc>
          <w:tcPr/>
          <w:p>
            <w:pPr>
              <w:pStyle w:val="BodyText"/>
            </w:pPr>
            <w:r>
              <w:t xml:space="preserve">Localizado onde existe a tradução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monitoramento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</w:tbl>
    <w:bookmarkEnd w:id="24"/>
    <w:bookmarkStart w:id="25" w:name="Tiposdecamposnãocompatíveis"/>
    <w:p>
      <w:pPr>
        <w:pStyle w:val="Heading2"/>
      </w:pPr>
      <w:r>
        <w:t xml:space="preserve">Tipos de campos não compatíveis</w:t>
      </w:r>
    </w:p>
    <w:p>
      <w:pPr>
        <w:pStyle w:val="TableCaption"/>
      </w:pPr>
      <w:r>
        <w:t xml:space="preserve">A tabela a seguir lista os tipos de campos não compatíveis.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tipos de campos não compat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Categoria</w:t>
            </w:r>
          </w:p>
        </w:tc>
        <w:tc>
          <w:tcPr/>
          <w:p>
            <w:pPr>
              <w:pStyle w:val="BodyText"/>
            </w:pPr>
            <w:r>
              <w:t xml:space="preserve">Tipo de campo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Básico</w:t>
            </w:r>
          </w:p>
        </w:tc>
        <w:tc>
          <w:tcPr/>
          <w:p>
            <w:pPr>
              <w:pStyle w:val="BodyText"/>
            </w:pPr>
            <w:r>
              <w:t xml:space="preserve">Anexo</w:t>
            </w:r>
            <w:r>
              <w:br/>
            </w:r>
            <w:r>
              <w:t xml:space="preserve">Imagem</w:t>
            </w:r>
            <w:r>
              <w:br/>
            </w:r>
            <w:r>
              <w:t xml:space="preserve">Votação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Avançado</w:t>
            </w:r>
          </w:p>
        </w:tc>
        <w:tc>
          <w:tcPr/>
          <w:p>
            <w:pPr>
              <w:pStyle w:val="BodyText"/>
            </w:pPr>
            <w:r>
              <w:t xml:space="preserve">CAST (Cross Application Status Tracking, rastreamento de status entre aplicativos)</w:t>
            </w:r>
          </w:p>
          <w:p>
            <w:pPr>
              <w:pStyle w:val="Compact"/>
            </w:pPr>
            <w:r>
              <w:t xml:space="preserve">Referência cruzada</w:t>
            </w:r>
          </w:p>
          <w:p>
            <w:pPr>
              <w:pStyle w:val="Compact"/>
            </w:pPr>
            <w:r>
              <w:t xml:space="preserve">Matriz</w:t>
            </w:r>
          </w:p>
          <w:p>
            <w:pPr>
              <w:pStyle w:val="Compact"/>
            </w:pPr>
            <w:r>
              <w:t xml:space="preserve">MRDC (Multiple Reference Display Control, controle de exibição de referências múltiplas)</w:t>
            </w:r>
          </w:p>
          <w:p>
            <w:pPr>
              <w:pStyle w:val="BodyText"/>
            </w:pPr>
            <w:r>
              <w:t xml:space="preserve">Referência de questionário</w:t>
            </w:r>
          </w:p>
          <w:p>
            <w:pPr>
              <w:pStyle w:val="Compact"/>
            </w:pPr>
            <w:r>
              <w:t xml:space="preserve">Registros relacionados</w:t>
            </w:r>
          </w:p>
          <w:p>
            <w:pPr>
              <w:pStyle w:val="Compact"/>
            </w:pPr>
            <w:r>
              <w:t xml:space="preserve">Agendador</w:t>
            </w:r>
          </w:p>
          <w:p>
            <w:pPr>
              <w:pStyle w:val="Compact"/>
            </w:pPr>
            <w:r>
              <w:t xml:space="preserve">Subformulário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Sistema</w:t>
            </w:r>
          </w:p>
        </w:tc>
        <w:tc>
          <w:tcPr/>
          <w:p>
            <w:pPr>
              <w:pStyle w:val="BodyText"/>
            </w:pPr>
            <w:r>
              <w:t xml:space="preserve">Histórico de acesso</w:t>
            </w:r>
            <w:r>
              <w:br/>
            </w:r>
            <w:r>
              <w:t xml:space="preserve">Registro do histórico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2025-02-19T20:19:28Z</dcterms:created>
  <dcterms:modified xsi:type="dcterms:W3CDTF">2025-02-19T20:19:28Z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