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mc-main-content"/>
    <w:bookmarkStart w:id="28" w:name="importando-dados-em-um-registro-clássico"/>
    <w:p>
      <w:pPr>
        <w:pStyle w:val="Heading1"/>
      </w:pPr>
      <w:bookmarkStart w:id="20" w:name="aanchor62"/>
      <w:bookmarkEnd w:id="20"/>
      <w:r>
        <w:t xml:space="preserve"> </w:t>
      </w:r>
      <w:r>
        <w:t xml:space="preserve">Importando dados em um registro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Depois de preparar seu arquivo de dados externo e seu aplicativo, questionário ou subformulário para a importação de dados, você poderá começar o processo de importação usando o Assistente de importação de dados. O assistente pedirá que você selecione seu arquivo de dados, configure as opções de importação e associe os dados da importação a campos do aplicativo.</w:t>
      </w:r>
    </w:p>
    <w:p>
      <w:pPr>
        <w:pStyle w:val="BodyText"/>
      </w:pPr>
      <w:r>
        <w:rPr>
          <w:b/>
          <w:bCs/>
        </w:rPr>
        <w:t xml:space="preserve">Importante:</w:t>
      </w:r>
      <w:r>
        <w:t xml:space="preserve"> </w:t>
      </w:r>
      <w:r>
        <w:t xml:space="preserve">Esse recurso só existe no caso de uso Archer Audit Engagements &amp; Workpapers.</w:t>
      </w:r>
    </w:p>
    <w:p>
      <w:pPr>
        <w:pStyle w:val="BodyText"/>
      </w:pPr>
      <w:r>
        <w:t xml:space="preserve">Nesta página</w:t>
      </w:r>
    </w:p>
    <w:p>
      <w:pPr>
        <w:pStyle w:val="Compact"/>
        <w:numPr>
          <w:ilvl w:val="0"/>
          <w:numId w:val="1001"/>
        </w:numPr>
      </w:pPr>
      <w:hyperlink w:anchor="Tarefa1Selecioneoregistro">
        <w:r>
          <w:rPr>
            <w:rStyle w:val="Hyperlink"/>
          </w:rPr>
          <w:t xml:space="preserve">Tarefa 1: Selecione o registro</w:t>
        </w:r>
      </w:hyperlink>
    </w:p>
    <w:p>
      <w:pPr>
        <w:pStyle w:val="Compact"/>
        <w:numPr>
          <w:ilvl w:val="0"/>
          <w:numId w:val="1001"/>
        </w:numPr>
      </w:pPr>
      <w:hyperlink w:anchor="Xc6487f29107812ef4bfe1bd9dc0ec1452d8c3e4">
        <w:r>
          <w:rPr>
            <w:rStyle w:val="Hyperlink"/>
          </w:rPr>
          <w:t xml:space="preserve">Tarefa 2: Selecionar o arquivo de dados e as opções de importação</w:t>
        </w:r>
      </w:hyperlink>
    </w:p>
    <w:p>
      <w:pPr>
        <w:pStyle w:val="Compact"/>
        <w:numPr>
          <w:ilvl w:val="0"/>
          <w:numId w:val="1001"/>
        </w:numPr>
      </w:pPr>
      <w:hyperlink w:anchor="X85b0cbf4818121163f52f6c71c73ef6da0325ac">
        <w:r>
          <w:rPr>
            <w:rStyle w:val="Hyperlink"/>
          </w:rPr>
          <w:t xml:space="preserve">Tarefa 3: Selecionar identificadores exclusivos de registro</w:t>
        </w:r>
      </w:hyperlink>
    </w:p>
    <w:p>
      <w:pPr>
        <w:pStyle w:val="Compact"/>
        <w:numPr>
          <w:ilvl w:val="0"/>
          <w:numId w:val="1001"/>
        </w:numPr>
      </w:pPr>
      <w:hyperlink w:anchor="X08a5b8793b99287cf245db7ffb33dafe1ba4046">
        <w:r>
          <w:rPr>
            <w:rStyle w:val="Hyperlink"/>
          </w:rPr>
          <w:t xml:space="preserve">Tarefa 4: Associar dados da importação a campos do aplicativo</w:t>
        </w:r>
      </w:hyperlink>
    </w:p>
    <w:p>
      <w:pPr>
        <w:pStyle w:val="Compact"/>
        <w:numPr>
          <w:ilvl w:val="0"/>
          <w:numId w:val="1001"/>
        </w:numPr>
      </w:pPr>
      <w:hyperlink w:anchor="X333fa15ae230934de70185f946d07f20dfe8787">
        <w:r>
          <w:rPr>
            <w:rStyle w:val="Hyperlink"/>
          </w:rPr>
          <w:t xml:space="preserve">Tarefa 5: Iniciar validação e importação de dados</w:t>
        </w:r>
      </w:hyperlink>
    </w:p>
    <w:bookmarkStart w:id="23" w:name="Tarefa1Selecioneoregistro"/>
    <w:p>
      <w:pPr>
        <w:pStyle w:val="Heading2"/>
      </w:pPr>
      <w:r>
        <w:t xml:space="preserve">Tarefa 1: Selecione o registro</w:t>
      </w:r>
    </w:p>
    <w:p>
      <w:pPr>
        <w:numPr>
          <w:ilvl w:val="0"/>
          <w:numId w:val="1002"/>
        </w:numPr>
      </w:pPr>
      <w:r>
        <w:t xml:space="preserve">Vá até a página Resultados da pesquisa.</w:t>
      </w:r>
    </w:p>
    <w:p>
      <w:pPr>
        <w:pStyle w:val="Compact"/>
        <w:numPr>
          <w:ilvl w:val="1"/>
          <w:numId w:val="1003"/>
        </w:numPr>
      </w:pPr>
      <w:r>
        <w:t xml:space="preserve">No menu, clique no menu</w:t>
      </w:r>
      <w:r>
        <w:t xml:space="preserve"> </w:t>
      </w:r>
      <w:r>
        <w:rPr>
          <w:i/>
          <w:iCs/>
        </w:rPr>
        <w:t xml:space="preserve">Nome da área de trabalho</w:t>
      </w:r>
      <w:r>
        <w:t xml:space="preserve">.</w:t>
      </w:r>
    </w:p>
    <w:p>
      <w:pPr>
        <w:pStyle w:val="Compact"/>
        <w:numPr>
          <w:ilvl w:val="1"/>
          <w:numId w:val="1003"/>
        </w:numPr>
      </w:pPr>
      <w:r>
        <w:t xml:space="preserve">Clique na solução.</w:t>
      </w:r>
    </w:p>
    <w:p>
      <w:pPr>
        <w:pStyle w:val="Compact"/>
        <w:numPr>
          <w:ilvl w:val="1"/>
          <w:numId w:val="1003"/>
        </w:numPr>
      </w:pPr>
      <w:r>
        <w:t xml:space="preserve">Clique no aplicativo ao qual pertence o registro.</w:t>
      </w:r>
    </w:p>
    <w:p>
      <w:pPr>
        <w:pStyle w:val="Compact"/>
        <w:numPr>
          <w:ilvl w:val="0"/>
          <w:numId w:val="1002"/>
        </w:numPr>
      </w:pPr>
      <w:r>
        <w:t xml:space="preserve">Selecione o registro para o qual você está importando os dados.</w:t>
      </w:r>
    </w:p>
    <w:p>
      <w:pPr>
        <w:pStyle w:val="Compact"/>
        <w:numPr>
          <w:ilvl w:val="0"/>
          <w:numId w:val="1002"/>
        </w:numPr>
      </w:pPr>
      <w:r>
        <w:t xml:space="preserve">Clique em Importar dados.</w:t>
      </w:r>
    </w:p>
    <w:bookmarkEnd w:id="23"/>
    <w:bookmarkStart w:id="24" w:name="Xc747afa7ed0362b63442a35c4ca5beb0feee6ee"/>
    <w:p>
      <w:pPr>
        <w:pStyle w:val="Heading2"/>
      </w:pPr>
      <w:r>
        <w:t xml:space="preserve">Tarefa 2: Selecionar o arquivo de dados e as opções de importação</w:t>
      </w:r>
    </w:p>
    <w:p>
      <w:pPr>
        <w:numPr>
          <w:ilvl w:val="0"/>
          <w:numId w:val="1004"/>
        </w:numPr>
      </w:pPr>
      <w:r>
        <w:t xml:space="preserve">No campo Arquivo de importação, da seção Informações gerais, faça 1 dos seguintes procedimentos.</w:t>
      </w:r>
    </w:p>
    <w:p>
      <w:pPr>
        <w:pStyle w:val="Compact"/>
        <w:numPr>
          <w:ilvl w:val="1"/>
          <w:numId w:val="1005"/>
        </w:numPr>
      </w:pPr>
      <w:r>
        <w:t xml:space="preserve">Digite o nome do arquivo de origem.</w:t>
      </w:r>
    </w:p>
    <w:p>
      <w:pPr>
        <w:pStyle w:val="Compact"/>
        <w:numPr>
          <w:ilvl w:val="1"/>
          <w:numId w:val="1005"/>
        </w:numPr>
      </w:pPr>
      <w:r>
        <w:t xml:space="preserve">Clique em Procurar para selecionar o arquivo de origem.</w:t>
      </w:r>
    </w:p>
    <w:p>
      <w:pPr>
        <w:pStyle w:val="Compact"/>
        <w:numPr>
          <w:ilvl w:val="2"/>
          <w:numId w:val="1006"/>
        </w:numPr>
      </w:pPr>
      <w:r>
        <w:t xml:space="preserve">Clique em Adicionar novo.</w:t>
      </w:r>
    </w:p>
    <w:p>
      <w:pPr>
        <w:pStyle w:val="Compact"/>
        <w:numPr>
          <w:ilvl w:val="2"/>
          <w:numId w:val="1006"/>
        </w:numPr>
      </w:pPr>
      <w:r>
        <w:t xml:space="preserve">Selecione o arquivo que você deseja importar.</w:t>
      </w:r>
    </w:p>
    <w:p>
      <w:pPr>
        <w:pStyle w:val="Compact"/>
        <w:numPr>
          <w:ilvl w:val="2"/>
          <w:numId w:val="1006"/>
        </w:numPr>
      </w:pPr>
      <w:r>
        <w:t xml:space="preserve">Clique em OK.</w:t>
      </w:r>
    </w:p>
    <w:p>
      <w:pPr>
        <w:numPr>
          <w:ilvl w:val="0"/>
          <w:numId w:val="1000"/>
        </w:numPr>
      </w:pPr>
      <w:r>
        <w:rPr>
          <w:b/>
          <w:bCs/>
        </w:rPr>
        <w:t xml:space="preserve">Observação:</w:t>
      </w:r>
      <w:r>
        <w:t xml:space="preserve"> </w:t>
      </w:r>
      <w:r>
        <w:t xml:space="preserve">Se você fizer alterações no arquivo de origem depois de fazer upload dele para o Assistente de importação de dados, faça upload do arquivo novamente antes de começar o processo de validação e importação de dados.</w:t>
      </w:r>
    </w:p>
    <w:p>
      <w:pPr>
        <w:pStyle w:val="Compact"/>
        <w:numPr>
          <w:ilvl w:val="0"/>
          <w:numId w:val="1004"/>
        </w:numPr>
      </w:pPr>
      <w:r>
        <w:t xml:space="preserve">No campo Codificação de arquivo, selecione o formato adequado para o arquivo de importação.</w:t>
      </w:r>
    </w:p>
    <w:p>
      <w:pPr>
        <w:pStyle w:val="Compact"/>
        <w:numPr>
          <w:ilvl w:val="0"/>
          <w:numId w:val="1004"/>
        </w:numPr>
      </w:pPr>
      <w:r>
        <w:t xml:space="preserve">Na seção Opções de formato, selecione os delimitadores de campo e de valores.</w:t>
      </w:r>
    </w:p>
    <w:p>
      <w:pPr>
        <w:pStyle w:val="Compact"/>
        <w:numPr>
          <w:ilvl w:val="1"/>
          <w:numId w:val="1007"/>
        </w:numPr>
      </w:pPr>
      <w:r>
        <w:t xml:space="preserve">Se o delimitador de campo de seu arquivo de importação for um caractere diferente de vírgula ou tabulação, digite o caractere correto no campo Outros.</w:t>
      </w:r>
    </w:p>
    <w:p>
      <w:pPr>
        <w:pStyle w:val="Compact"/>
        <w:numPr>
          <w:ilvl w:val="1"/>
          <w:numId w:val="1007"/>
        </w:numPr>
      </w:pPr>
      <w:r>
        <w:t xml:space="preserve">Se o delimitador de campo de seu arquivo de importação for um caractere diferente de ponto e vírgula ou barra vertical (|), digite o caractere correto no campo Outros.</w:t>
      </w:r>
    </w:p>
    <w:p>
      <w:pPr>
        <w:pStyle w:val="Compact"/>
        <w:numPr>
          <w:ilvl w:val="0"/>
          <w:numId w:val="1004"/>
        </w:numPr>
      </w:pPr>
      <w:r>
        <w:t xml:space="preserve">No campo Localidade, selecione o idioma da localidade do arquivo de entrada.</w:t>
      </w:r>
    </w:p>
    <w:p>
      <w:pPr>
        <w:pStyle w:val="Compact"/>
        <w:numPr>
          <w:ilvl w:val="0"/>
          <w:numId w:val="1004"/>
        </w:numPr>
      </w:pPr>
      <w:r>
        <w:t xml:space="preserve">No campo Linha de cabeçalho, execute 1 destes procedimentos:</w:t>
      </w:r>
    </w:p>
    <w:p>
      <w:pPr>
        <w:pStyle w:val="Compact"/>
        <w:numPr>
          <w:ilvl w:val="1"/>
          <w:numId w:val="1008"/>
        </w:numPr>
      </w:pPr>
      <w:r>
        <w:t xml:space="preserve">Se a primeira linha de dados de seu arquivo contiver nomes de campo, em vez dos dados reais de registro, selecione O arquivo contém linha de cabeçalho.</w:t>
      </w:r>
    </w:p>
    <w:p>
      <w:pPr>
        <w:pStyle w:val="Compact"/>
        <w:numPr>
          <w:ilvl w:val="1"/>
          <w:numId w:val="1008"/>
        </w:numPr>
      </w:pPr>
      <w:r>
        <w:t xml:space="preserve">Se a primeira linha de dados de seu arquivo contiver os dados reais de registro, selecione O arquivo não contém linha de cabeçalho.</w:t>
      </w:r>
    </w:p>
    <w:p>
      <w:pPr>
        <w:pStyle w:val="Compact"/>
        <w:numPr>
          <w:ilvl w:val="0"/>
          <w:numId w:val="1004"/>
        </w:numPr>
      </w:pPr>
      <w:r>
        <w:t xml:space="preserve">No campo Formatação HTML, indique se os campos de seu arquivo de dados contêm formatação HTML.</w:t>
      </w:r>
    </w:p>
    <w:p>
      <w:pPr>
        <w:pStyle w:val="Compact"/>
        <w:numPr>
          <w:ilvl w:val="0"/>
          <w:numId w:val="1004"/>
        </w:numPr>
      </w:pPr>
      <w:r>
        <w:t xml:space="preserve">Na seção Opções avançadas, preencha os campos para especificar as opções avançadas de importação. Estas devem incluir como determinar se seus campos de dados contêm aspas de valor do campo e se você quer enviar uma notificação para cada registro criado e atualizado após a importação ser concluída.</w:t>
      </w:r>
    </w:p>
    <w:p>
      <w:pPr>
        <w:pStyle w:val="Compact"/>
      </w:pPr>
      <w:r>
        <w:t xml:space="preserve">A tabela a seguir descreve as opções avançadas disponíveis.</w:t>
      </w:r>
    </w:p>
    <w:tbl>
      <w:tblPr>
        <w:tblStyle w:val="Table"/>
        <w:tblW w:type="auto" w:w="0"/>
        <w:jc w:val="left"/>
        <w:tblInd w:w="720" w:type="dxa"/>
        <w:tblLook w:firstRow="1" w:lastRow="0" w:firstColumn="0" w:lastColumn="0" w:noHBand="0" w:noVBand="0" w:val="0020"/>
        <w:tblCaption w:val="A tabela a seguir descreve as opções avançadas disponíveis."/>
      </w:tblPr>
      <w:tblGrid>
        <w:gridCol w:w="3960"/>
        <w:gridCol w:w="3960"/>
      </w:tblGrid>
      <w:tr>
        <w:trPr>
          <w:tblHeader w:val="on"/>
        </w:trPr>
        <w:tc>
          <w:tcPr/>
          <w:p>
            <w:pPr>
              <w:pStyle w:val="BodyText"/>
            </w:pPr>
            <w:r>
              <w:t xml:space="preserve">Considerações</w:t>
            </w:r>
          </w:p>
        </w:tc>
        <w:tc>
          <w:tcPr/>
          <w:p>
            <w:pPr>
              <w:pStyle w:val="BodyText"/>
            </w:pPr>
            <w:r>
              <w:t xml:space="preserve">Opções disponíveis</w:t>
            </w:r>
          </w:p>
        </w:tc>
      </w:tr>
      <w:tr>
        <w:tc>
          <w:tcPr/>
          <w:p>
            <w:pPr>
              <w:pStyle w:val="BodyText"/>
            </w:pPr>
            <w:r>
              <w:t xml:space="preserve">Os valores de campos estão entre aspas em seu arquivo de dados?</w:t>
            </w:r>
          </w:p>
        </w:tc>
        <w:tc>
          <w:tcPr/>
          <w:p>
            <w:pPr>
              <w:pStyle w:val="BodyText"/>
            </w:pPr>
            <w:r>
              <w:t xml:space="preserve">Se a resposta for sim, selecione a opção aspas simples ou aspas duplas.</w:t>
            </w:r>
          </w:p>
          <w:p>
            <w:pPr>
              <w:pStyle w:val="BodyText"/>
            </w:pPr>
            <w:r>
              <w:t xml:space="preserve">Se não houver aspas, não selecione nenhuma opção.</w:t>
            </w:r>
          </w:p>
        </w:tc>
      </w:tr>
      <w:tr>
        <w:tc>
          <w:tcPr/>
          <w:p>
            <w:pPr>
              <w:pStyle w:val="BodyText"/>
            </w:pPr>
            <w:r>
              <w:t xml:space="preserve">Os registros importados podem acionar notificações?</w:t>
            </w:r>
          </w:p>
        </w:tc>
        <w:tc>
          <w:tcPr/>
          <w:p>
            <w:pPr>
              <w:pStyle w:val="BodyText"/>
            </w:pPr>
            <w:r>
              <w:t xml:space="preserve">Se a opção de notificações está ativada no aplicativo para o qual você está importando os dados, selecione enviar notificações para seus registros importados.</w:t>
            </w:r>
          </w:p>
          <w:p>
            <w:pPr>
              <w:pStyle w:val="BodyText"/>
            </w:pPr>
            <w:r>
              <w:t xml:space="preserve">Se você estiver importando um grande número de registros, acionar uma notificação por e-mail para cada um deles poderá gerar uma sobrecarga nas contas de e-mail dos usuários inscritos em um modelo de notificação do aplicativo.</w:t>
            </w:r>
          </w:p>
        </w:tc>
      </w:tr>
      <w:tr>
        <w:tc>
          <w:tcPr/>
          <w:p>
            <w:pPr>
              <w:pStyle w:val="BodyText"/>
            </w:pPr>
            <w:r>
              <w:t xml:space="preserve">Como as referências devem ser manipuladas?</w:t>
            </w:r>
          </w:p>
        </w:tc>
        <w:tc>
          <w:tcPr/>
          <w:p>
            <w:pPr>
              <w:pStyle w:val="BodyText"/>
            </w:pPr>
            <w:r>
              <w:t xml:space="preserve">Se você optar por substituir os valores existentes de referência cruzada, os dados existentes no aplicativo serão substituídos pelos dados do arquivo de importação. Os dados que existiam antes do processo de importação serão removidos.</w:t>
            </w:r>
          </w:p>
          <w:p>
            <w:pPr>
              <w:pStyle w:val="BodyText"/>
            </w:pPr>
            <w:r>
              <w:t xml:space="preserve">Se você optar por acrescentar dados de referência cruzada, o sistema manterá intactos os valores existentes no registro e adicionará novos valores de referência cruzada do arquivo de dados aos registros.</w:t>
            </w:r>
          </w:p>
        </w:tc>
      </w:tr>
    </w:tbl>
    <w:p>
      <w:pPr>
        <w:pStyle w:val="Compact"/>
        <w:numPr>
          <w:ilvl w:val="0"/>
          <w:numId w:val="1004"/>
        </w:numPr>
      </w:pPr>
      <w:r>
        <w:t xml:space="preserve">Clique em Avançar.</w:t>
      </w:r>
    </w:p>
    <w:bookmarkEnd w:id="24"/>
    <w:bookmarkStart w:id="25" w:name="X85b0cbf4818121163f52f6c71c73ef6da0325ac"/>
    <w:p>
      <w:pPr>
        <w:pStyle w:val="Heading2"/>
      </w:pPr>
      <w:r>
        <w:t xml:space="preserve">Tarefa 3: Selecionar identificadores exclusivos de registro</w:t>
      </w:r>
    </w:p>
    <w:p>
      <w:pPr>
        <w:pStyle w:val="FirstParagraph"/>
      </w:pPr>
      <w:r>
        <w:t xml:space="preserve">As etapas para a seleção de identificadores exclusivos de registro variam de acordo com o tipo de importação de dados realizada.</w:t>
      </w:r>
    </w:p>
    <w:p>
      <w:pPr>
        <w:pStyle w:val="Compact"/>
        <w:numPr>
          <w:ilvl w:val="0"/>
          <w:numId w:val="1009"/>
        </w:numPr>
      </w:pPr>
      <w:r>
        <w:t xml:space="preserve">Iniciar na Tarefa 2 - página de identificação do Assistente de importação de dados.</w:t>
      </w:r>
    </w:p>
    <w:p>
      <w:pPr>
        <w:pStyle w:val="Compact"/>
        <w:numPr>
          <w:ilvl w:val="0"/>
          <w:numId w:val="1009"/>
        </w:numPr>
      </w:pPr>
      <w:r>
        <w:t xml:space="preserve">Na seção Informações gerais, selecione se deseja importar novos registros ou atualizar registros existentes:</w:t>
      </w:r>
    </w:p>
    <w:p>
      <w:pPr>
        <w:pStyle w:val="Compact"/>
      </w:pPr>
      <w:r>
        <w:t xml:space="preserve">A tabela a seguir descreve as opções de identificador de registro exclusivo.</w:t>
      </w:r>
    </w:p>
    <w:tbl>
      <w:tblPr>
        <w:tblStyle w:val="Table"/>
        <w:tblW w:type="auto" w:w="0"/>
        <w:jc w:val="left"/>
        <w:tblInd w:w="720" w:type="dxa"/>
        <w:tblLook w:firstRow="1" w:lastRow="0" w:firstColumn="0" w:lastColumn="0" w:noHBand="0" w:noVBand="0" w:val="0020"/>
        <w:tblCaption w:val="A tabela a seguir descreve as opções de identificador de registro exclusivo."/>
      </w:tblPr>
      <w:tblGrid>
        <w:gridCol w:w="3960"/>
        <w:gridCol w:w="3960"/>
      </w:tblGrid>
      <w:tr>
        <w:trPr>
          <w:tblHeader w:val="on"/>
        </w:trPr>
        <w:tc>
          <w:tcPr/>
          <w:p>
            <w:pPr>
              <w:pStyle w:val="BodyText"/>
            </w:pPr>
            <w:r>
              <w:t xml:space="preserve">Opções</w:t>
            </w:r>
          </w:p>
        </w:tc>
        <w:tc>
          <w:tcPr/>
          <w:p>
            <w:pPr>
              <w:pStyle w:val="BodyText"/>
            </w:pPr>
            <w:r>
              <w:t xml:space="preserve">Descrição</w:t>
            </w:r>
          </w:p>
        </w:tc>
      </w:tr>
      <w:tr>
        <w:tc>
          <w:tcPr/>
          <w:p>
            <w:pPr>
              <w:pStyle w:val="BodyText"/>
            </w:pPr>
            <w:r>
              <w:t xml:space="preserve">Importar novos registros</w:t>
            </w:r>
          </w:p>
        </w:tc>
        <w:tc>
          <w:tcPr/>
          <w:p>
            <w:pPr>
              <w:pStyle w:val="BodyText"/>
            </w:pPr>
            <w:r>
              <w:t xml:space="preserve">Se você estiver importando novos registros, os registros existentes em seu aplicativo permanecerão intactos. Os novos registros são adicionados ao grupo dos registros existentes no aplicativo.</w:t>
            </w:r>
          </w:p>
        </w:tc>
      </w:tr>
      <w:tr>
        <w:tc>
          <w:tcPr/>
          <w:p>
            <w:pPr>
              <w:pStyle w:val="BodyText"/>
            </w:pPr>
            <w:r>
              <w:t xml:space="preserve">Atualizar registros existentes</w:t>
            </w:r>
          </w:p>
        </w:tc>
        <w:tc>
          <w:tcPr/>
          <w:p>
            <w:pPr>
              <w:pStyle w:val="BodyText"/>
            </w:pPr>
            <w:r>
              <w:t xml:space="preserve">Se você estiver atualizando os registros existentes, o sistema examinará esses registros. Quando houver uma correspondência entre um registro no seu aplicativo e o registro no seu arquivo de dados externo, o registro existente será atualizado com o registro importado. Se o arquivo de dados externo contiver registros sem correspondentes em seu aplicativo (de acordo com o identificador exclusivo de registro especificado), eles serão adicionados ao aplicativo como registros novos.</w:t>
            </w:r>
          </w:p>
        </w:tc>
      </w:tr>
    </w:tbl>
    <w:p>
      <w:pPr>
        <w:pStyle w:val="Compact"/>
        <w:numPr>
          <w:ilvl w:val="0"/>
          <w:numId w:val="1009"/>
        </w:numPr>
      </w:pPr>
      <w:r>
        <w:t xml:space="preserve">Se você estiver atualizando registros existentes com sua importação de dados, faça o seguinte:</w:t>
      </w:r>
    </w:p>
    <w:p>
      <w:pPr>
        <w:pStyle w:val="Compact"/>
        <w:numPr>
          <w:ilvl w:val="1"/>
          <w:numId w:val="1010"/>
        </w:numPr>
      </w:pPr>
      <w:r>
        <w:t xml:space="preserve">Em Campo(s) de aplicativo, clique em</w:t>
      </w:r>
      <w:r>
        <w:t xml:space="preserve"> </w:t>
      </w:r>
      <w:r>
        <w:t xml:space="preserve">Reticências</w:t>
      </w:r>
      <w:r>
        <w:t xml:space="preserve">.</w:t>
      </w:r>
    </w:p>
    <w:p>
      <w:pPr>
        <w:numPr>
          <w:ilvl w:val="1"/>
          <w:numId w:val="1010"/>
        </w:numPr>
      </w:pPr>
      <w:r>
        <w:t xml:space="preserve">Selecione 1 ou mais campos cujos valores sirvam como identificador exclusivo de registro.</w:t>
      </w:r>
    </w:p>
    <w:p>
      <w:pPr>
        <w:numPr>
          <w:ilvl w:val="1"/>
          <w:numId w:val="1000"/>
        </w:numPr>
      </w:pPr>
      <w:r>
        <w:t xml:space="preserve">Isso permite ao Assistente de importação de dados fazer a correspondência entre os registros em seu arquivo externo de dados e os registros no aplicativo, questionário ou subformulário.</w:t>
      </w:r>
    </w:p>
    <w:bookmarkEnd w:id="25"/>
    <w:bookmarkStart w:id="26" w:name="X778ba4b30bd810e87427e539bac0b23bff8241d"/>
    <w:p>
      <w:pPr>
        <w:pStyle w:val="Heading2"/>
      </w:pPr>
      <w:r>
        <w:t xml:space="preserve">Tarefa 4: Associar dados da importação a campos do aplicativo</w:t>
      </w:r>
    </w:p>
    <w:p>
      <w:pPr>
        <w:pStyle w:val="Compact"/>
        <w:numPr>
          <w:ilvl w:val="0"/>
          <w:numId w:val="1011"/>
        </w:numPr>
      </w:pPr>
      <w:r>
        <w:t xml:space="preserve">Iniciar na Tarefa 2 - página de identificação do Assistente de importação de dados.</w:t>
      </w:r>
    </w:p>
    <w:p>
      <w:pPr>
        <w:pStyle w:val="Compact"/>
        <w:numPr>
          <w:ilvl w:val="0"/>
          <w:numId w:val="1011"/>
        </w:numPr>
      </w:pPr>
      <w:r>
        <w:t xml:space="preserve">No campo Tipo de importação, da seção Informações gerais, selecione o tipo de arquivo.</w:t>
      </w:r>
    </w:p>
    <w:p>
      <w:pPr>
        <w:pStyle w:val="Compact"/>
        <w:numPr>
          <w:ilvl w:val="0"/>
          <w:numId w:val="1011"/>
        </w:numPr>
      </w:pPr>
      <w:r>
        <w:t xml:space="preserve">(Opcional) Em Campos do aplicativo, selecione os campos que devem ser atualizados.</w:t>
      </w:r>
    </w:p>
    <w:p>
      <w:pPr>
        <w:pStyle w:val="Compact"/>
        <w:numPr>
          <w:ilvl w:val="0"/>
          <w:numId w:val="1011"/>
        </w:numPr>
      </w:pPr>
      <w:r>
        <w:t xml:space="preserve">Na seção Mapeamento de campos de importação, execute 1 ou mais das seguintes ações:</w:t>
      </w:r>
    </w:p>
    <w:p>
      <w:pPr>
        <w:pStyle w:val="Compact"/>
        <w:numPr>
          <w:ilvl w:val="1"/>
          <w:numId w:val="1012"/>
        </w:numPr>
      </w:pPr>
      <w:r>
        <w:t xml:space="preserve">Para mapear campos importados, selecione o campo correspondente na lista suspensa Campos de aplicativo.</w:t>
      </w:r>
    </w:p>
    <w:p>
      <w:pPr>
        <w:pStyle w:val="Compact"/>
        <w:numPr>
          <w:ilvl w:val="1"/>
          <w:numId w:val="1012"/>
        </w:numPr>
      </w:pPr>
      <w:r>
        <w:t xml:space="preserve">Se você não quiser importar 1 ou mais colunas de dados de seu arquivo de importação, selecione Não importar das colunas correspondentes no Assistente de importação de dados.</w:t>
      </w:r>
    </w:p>
    <w:p>
      <w:pPr>
        <w:pStyle w:val="Compact"/>
        <w:numPr>
          <w:ilvl w:val="1"/>
          <w:numId w:val="1012"/>
        </w:numPr>
      </w:pPr>
      <w:r>
        <w:t xml:space="preserve">Para atualizar os registros existentes ou importar entradas de subformulário, mapeie o campo selecionado como identificador exclusivo para o campo adequado no grid de mapeamento de campos.</w:t>
      </w:r>
    </w:p>
    <w:p>
      <w:pPr>
        <w:pStyle w:val="Compact"/>
        <w:numPr>
          <w:ilvl w:val="0"/>
          <w:numId w:val="1011"/>
        </w:numPr>
      </w:pPr>
      <w:r>
        <w:t xml:space="preserve">(Opcional) Se você tiver associado um campo Data do arquivo de importação a um campo Data do aplicativo, especifique o formato dos valores de data e hora do arquivo de importação.</w:t>
      </w:r>
    </w:p>
    <w:p>
      <w:pPr>
        <w:pStyle w:val="Compact"/>
        <w:numPr>
          <w:ilvl w:val="0"/>
          <w:numId w:val="1011"/>
        </w:numPr>
      </w:pPr>
      <w:r>
        <w:t xml:space="preserve">Clique em Avançar.</w:t>
      </w:r>
    </w:p>
    <w:bookmarkEnd w:id="26"/>
    <w:bookmarkStart w:id="27" w:name="Xa7cd4bb5553bd8d2426e428e78083d494d9015d"/>
    <w:p>
      <w:pPr>
        <w:pStyle w:val="Heading2"/>
      </w:pPr>
      <w:r>
        <w:t xml:space="preserve">Tarefa 5: Iniciar validação e importação de dados</w:t>
      </w:r>
    </w:p>
    <w:p>
      <w:pPr>
        <w:pStyle w:val="Compact"/>
        <w:numPr>
          <w:ilvl w:val="0"/>
          <w:numId w:val="1013"/>
        </w:numPr>
      </w:pPr>
      <w:r>
        <w:t xml:space="preserve">Analisar as configurações do Assistente de importação de dados.</w:t>
      </w:r>
    </w:p>
    <w:p>
      <w:pPr>
        <w:pStyle w:val="Compact"/>
        <w:numPr>
          <w:ilvl w:val="0"/>
          <w:numId w:val="1013"/>
        </w:numPr>
      </w:pPr>
      <w:r>
        <w:t xml:space="preserve">Faça quaisquer correções necessárias e comece o processo de importação novamente (começando na primeira página do Assistente de importação de dados).</w:t>
      </w:r>
    </w:p>
    <w:p>
      <w:pPr>
        <w:numPr>
          <w:ilvl w:val="0"/>
          <w:numId w:val="1013"/>
        </w:numPr>
      </w:pPr>
      <w:r>
        <w:t xml:space="preserve">Clique em Importar.</w:t>
      </w:r>
    </w:p>
    <w:p>
      <w:pPr>
        <w:numPr>
          <w:ilvl w:val="0"/>
          <w:numId w:val="1000"/>
        </w:numPr>
      </w:pPr>
      <w:r>
        <w:rPr>
          <w:b/>
          <w:bCs/>
        </w:rPr>
        <w:t xml:space="preserve">Importante:</w:t>
      </w:r>
      <w:r>
        <w:t xml:space="preserve"> </w:t>
      </w:r>
      <w:r>
        <w:t xml:space="preserve">Não feche essa janela nem faça log-off do sistema durante essa fase do processo de importação. Essas ações podem causar resultados adversos.</w:t>
      </w:r>
    </w:p>
    <w:p>
      <w:pPr>
        <w:pStyle w:val="Compact"/>
        <w:numPr>
          <w:ilvl w:val="0"/>
          <w:numId w:val="1013"/>
        </w:numPr>
      </w:pPr>
      <w:r>
        <w:t xml:space="preserve">(Opcional) Se forem encontrados erros adicionais, volte e corrija-os conforme necessário e clique novamente em Importar.</w:t>
      </w:r>
    </w:p>
    <w:p>
      <w:pPr>
        <w:pStyle w:val="Compact"/>
        <w:numPr>
          <w:ilvl w:val="0"/>
          <w:numId w:val="1013"/>
        </w:numPr>
      </w:pPr>
      <w:r>
        <w:t xml:space="preserve">Quando a importação for concluída com sucesso, clique em Continuar.</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2025-02-19T20:19:41Z</dcterms:created>
  <dcterms:modified xsi:type="dcterms:W3CDTF">2025-02-19T20:19:41Z</dcterms:modified>
</cp:coreProperties>
</file>

<file path=docProps/custom.xml><?xml version="1.0" encoding="utf-8"?>
<Properties xmlns="http://schemas.openxmlformats.org/officeDocument/2006/custom-properties" xmlns:vt="http://schemas.openxmlformats.org/officeDocument/2006/docPropsVTypes"/>
</file>