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22.png" ContentType="image/png"/>
  <Override PartName="/word/media/rId27.png" ContentType="image/png"/>
  <Override PartName="/word/media/rId42.png" ContentType="image/png"/>
  <Override PartName="/word/media/rId45.png" ContentType="image/png"/>
  <Override PartName="/word/media/rId54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mc-main-content"/>
    <w:bookmarkStart w:id="58" w:name="agendamento-de-ações-em-massa-clássico"/>
    <w:p>
      <w:pPr>
        <w:pStyle w:val="Heading1"/>
      </w:pPr>
      <w:r>
        <w:t xml:space="preserve">Agendamento de ações em massa (clássico)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 agendamento de ações em massa permite a automatização de ações em massa predefinidas de modo recorrente. É possível especificar a ordem em que as ações em massa são executadas, configurar a frequência de uma atualização, definir a ação que ocorre quando um agendamento em massa é acionado e definir os registros ou campos aos quais as alterações serão aplicadas.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mecanismo de trabalho deve estar em execução para os usuários realizarem ações em lote sob demanda ou agendadas.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bc0ca8b2f76a40a434e0e0292653f0a896b15">
        <w:r>
          <w:rPr>
            <w:rStyle w:val="Hyperlink"/>
          </w:rPr>
          <w:t xml:space="preserve">Configurando ações em massa agendadas</w:t>
        </w:r>
      </w:hyperlink>
    </w:p>
    <w:p>
      <w:pPr>
        <w:pStyle w:val="Compact"/>
        <w:numPr>
          <w:ilvl w:val="0"/>
          <w:numId w:val="1001"/>
        </w:numPr>
      </w:pPr>
      <w:hyperlink w:anchor="Agendaracesso">
        <w:r>
          <w:rPr>
            <w:rStyle w:val="Hyperlink"/>
          </w:rPr>
          <w:t xml:space="preserve">Agendar acesso</w:t>
        </w:r>
      </w:hyperlink>
    </w:p>
    <w:p>
      <w:pPr>
        <w:pStyle w:val="Compact"/>
        <w:numPr>
          <w:ilvl w:val="0"/>
          <w:numId w:val="1001"/>
        </w:numPr>
      </w:pPr>
      <w:hyperlink w:anchor="Agendarumaa%C3%A7%C3%A3oemlote">
        <w:r>
          <w:rPr>
            <w:rStyle w:val="Hyperlink"/>
          </w:rPr>
          <w:t xml:space="preserve">Agendar uma ação em lote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0" w:name="Configurandoaçõesemmassaagendadas"/>
    <w:p>
      <w:pPr>
        <w:pStyle w:val="Heading2"/>
      </w:pPr>
      <w:r>
        <w:t xml:space="preserve">Configurando ações em massa agendadas</w:t>
      </w:r>
    </w:p>
    <w:p>
      <w:pPr>
        <w:pStyle w:val="FirstParagraph"/>
      </w:pPr>
      <w:r>
        <w:t xml:space="preserve">Agendamentos não exigem a ativação de campos individuais para a ação em lote. Desde que você tenha permissões adequadas de atualização ou criação, é possível configurar todos os tipos de campo aceitos em um agendamento, mesmo se os campos não estiverem ativados para a ação em lote no nível do campo.</w:t>
      </w:r>
    </w:p>
    <w:bookmarkEnd w:id="20"/>
    <w:bookmarkStart w:id="21" w:name="Agendaracesso"/>
    <w:p>
      <w:pPr>
        <w:pStyle w:val="Heading2"/>
      </w:pPr>
      <w:r>
        <w:t xml:space="preserve">Agendar acesso</w:t>
      </w:r>
    </w:p>
    <w:p>
      <w:pPr>
        <w:pStyle w:val="FirstParagraph"/>
      </w:pPr>
      <w:r>
        <w:t xml:space="preserve">Os administradores do sistema têm acesso irrestrito a todos os agendamentos no Archer.</w:t>
      </w:r>
    </w:p>
    <w:p>
      <w:pPr>
        <w:pStyle w:val="BodyText"/>
      </w:pPr>
      <w:r>
        <w:t xml:space="preserve">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Os administradores do sistema e os administradores de configuração também podem selecionar outros usuários para servirem como proprietário de uma programação.</w:t>
      </w:r>
    </w:p>
    <w:bookmarkEnd w:id="21"/>
    <w:bookmarkStart w:id="36" w:name="Agendarumaaçãoemlote"/>
    <w:p>
      <w:pPr>
        <w:pStyle w:val="Heading2"/>
      </w:pPr>
      <w:r>
        <w:t xml:space="preserve">Agendar uma ação em lote</w:t>
      </w:r>
    </w:p>
    <w:p>
      <w:pPr>
        <w:numPr>
          <w:ilvl w:val="0"/>
          <w:numId w:val="1002"/>
        </w:numPr>
      </w:pPr>
      <w:r>
        <w:t xml:space="preserve">Acesse a página Gerenciar agendamento do aplicativo para o qual você deseja agendar uma ação em lote.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02"/>
        </w:numPr>
      </w:pPr>
      <w:r>
        <w:t xml:space="preserve">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4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4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5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aplicativo for em níveis, selecione o nível em que residem os campos nos quais você deseja executar uma ação em lote.</w:t>
      </w:r>
    </w:p>
    <w:p>
      <w:pPr>
        <w:numPr>
          <w:ilvl w:val="1"/>
          <w:numId w:val="1004"/>
        </w:numPr>
      </w:pPr>
      <w:r>
        <w:t xml:space="preserve">No campo Proprietários do agendamento, selecione um proprietário ou proprietários para o agendamento. Essa função concede o acesso ao usuário para atualizar o agendamento e ações associadas, contanto que o usuário tenha direitos de atualização de agendamento para o aplicativo. É possível selecionar vários usuários nesse campo.</w:t>
      </w:r>
    </w:p>
    <w:p>
      <w:pPr>
        <w:numPr>
          <w:ilvl w:val="1"/>
          <w:numId w:val="1000"/>
        </w:numPr>
      </w:pPr>
      <w:r>
        <w:t xml:space="preserve">Se você não for um administrador sysadmin nem o administrador de configuração, esse campo será padronizado com sua conta de usuário do</w:t>
      </w:r>
      <w:r>
        <w:t xml:space="preserve"> </w:t>
      </w:r>
      <w:r>
        <w:t xml:space="preserve">Archer</w:t>
      </w:r>
      <w:r>
        <w:t xml:space="preserve"> </w:t>
      </w:r>
      <w:r>
        <w:t xml:space="preserve">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outro usuário nesse campo.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Proprietário do agendamento só permite selecionar os usuários com direitos de administrador do sistema, administrador de configuração ou de agendamento sobre o aplicativo.</w:t>
      </w:r>
    </w:p>
    <w:p>
      <w:pPr>
        <w:numPr>
          <w:ilvl w:val="1"/>
          <w:numId w:val="1004"/>
        </w:numPr>
      </w:pPr>
      <w:r>
        <w:t xml:space="preserve">No campo Executar como, selecione o usuário cujas permissões você deseja usar para executar o agendamento. O sistema executa todas as ações associadas ao agendamento usando o aplicativo, conteúdo e permissões de campo desse usuário. Só é possível selecionar 1 usuário nesse campo.</w:t>
      </w:r>
    </w:p>
    <w:p>
      <w:pPr>
        <w:numPr>
          <w:ilvl w:val="1"/>
          <w:numId w:val="1000"/>
        </w:numPr>
      </w:pPr>
      <w:r>
        <w:t xml:space="preserve">Se você não for um administrador do sistema nem o administrador de configuração, esse campo será padronizado com sua conta de usuário 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qualquer outro usuário com acesso de leitura ao aplicativo.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usuário Executar como só é usado para execuções agendadas. Se outro usuário usar o botão Executar agora para executar o agendamento imediatamente, serão usadas as permissões do usuário.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Na seção Notificações, clique nas notificações que deseja receber.</w:t>
      </w:r>
    </w:p>
    <w:p>
      <w:pPr>
        <w:pStyle w:val="Compact"/>
        <w:numPr>
          <w:ilvl w:val="1"/>
          <w:numId w:val="1006"/>
        </w:numPr>
      </w:pPr>
      <w:r>
        <w:t xml:space="preserve">Aplicativo de destino. Envia uma notificação da criação e atualização de registros no aplicativo de destino do agendamento.</w:t>
      </w:r>
    </w:p>
    <w:p>
      <w:pPr>
        <w:pStyle w:val="Compact"/>
        <w:numPr>
          <w:ilvl w:val="1"/>
          <w:numId w:val="1006"/>
        </w:numPr>
      </w:pPr>
      <w:r>
        <w:t xml:space="preserve">Aplicativo referenciado. Envia uma notificação de criação e atualização de registros em qualquer aplicativo referenciado pelas ações de agendamento.</w:t>
      </w:r>
    </w:p>
    <w:p>
      <w:pPr>
        <w:pStyle w:val="Compact"/>
        <w:numPr>
          <w:ilvl w:val="1"/>
          <w:numId w:val="1006"/>
        </w:numPr>
      </w:pPr>
      <w:r>
        <w:t xml:space="preserve">Notificação de status do trabalho. Envia uma notificação de conclusão do trabalho de ação em massa (bem-sucedido ou não) para os proprietários do agendamento ativo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notificações são enviadas apenas se as notificações tiverem sido configuradas para ações em lote agendadas nesse aplicativo. Para obter instruções, consulte</w:t>
      </w:r>
      <w:r>
        <w:t xml:space="preserve"> </w:t>
      </w:r>
      <w:hyperlink r:id="rId25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numPr>
          <w:ilvl w:val="0"/>
          <w:numId w:val="1002"/>
        </w:numPr>
      </w:pPr>
      <w:r>
        <w:t xml:space="preserve">Na seção filtros, crie os filtros de pesquisa para identificar somente os registros nos quais você deseja executar uma ação em lote.</w:t>
      </w:r>
    </w:p>
    <w:p>
      <w:pPr>
        <w:numPr>
          <w:ilvl w:val="0"/>
          <w:numId w:val="1000"/>
        </w:numPr>
      </w:pPr>
      <w:r>
        <w:t xml:space="preserve">Se você quiser adicionar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níveis, clique em Gerenciar relacionamentos e selecione um aplicativo na coluna Aplicativos relacionados disponíveis. Clique no sinal de adição (+) ao lado do aplicativo e selecione 1 ou mais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na coluna Selecionados, clicar no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ao lado de um aplicativo selecionado o exclui. No entanto, você só pode excluir aplicativos de baixo para cima. Os usuários não conseguem excluir um aplicativo de nível superior sem antes excluir os aplicativos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abaixo.</w:t>
      </w:r>
    </w:p>
    <w:p>
      <w:pPr>
        <w:numPr>
          <w:ilvl w:val="0"/>
          <w:numId w:val="1000"/>
        </w:numPr>
      </w:pPr>
      <w:r>
        <w:t xml:space="preserve">Tudo o que é selecionado e salvo na janela Gerenciar relacionamentos também é exibido em Campo a ser avaliado, na seção Filtro. Se nada estiver selecionado em Gerenciar relacionamentos, somente o aplicativo primário estará disponível no Campo a ser avaliado.</w:t>
      </w:r>
    </w:p>
    <w:p>
      <w:pPr>
        <w:numPr>
          <w:ilvl w:val="0"/>
          <w:numId w:val="1000"/>
        </w:numPr>
      </w:pPr>
      <w:r>
        <w:t xml:space="preserve">Se você deseja impor os relacionamentos selecionados em Gerenciar relacionamentos, clique em Configurar relacionamentos. Para cada aplicativo associado que você deseja incluir nos resultados da pesquisa, selecione Impor relacionamentos.</w:t>
      </w:r>
    </w:p>
    <w:p>
      <w:pPr>
        <w:numPr>
          <w:ilvl w:val="0"/>
          <w:numId w:val="1000"/>
        </w:numPr>
      </w:pPr>
      <w:r>
        <w:t xml:space="preserve">Por exemplo: se você quiser realizar uma atualização em lote em todos os registros de vulnerabilidades aos quais você está atribuído, você pode criar um filtro: [Security Analyst] CONTAINS "</w:t>
      </w:r>
      <w:r>
        <w:rPr>
          <w:i/>
          <w:iCs/>
        </w:rPr>
        <w:t xml:space="preserve">seu nome</w:t>
      </w:r>
      <w:r>
        <w:t xml:space="preserve">". Para obter mais informações sobre filtros, consulte</w:t>
      </w:r>
      <w:r>
        <w:t xml:space="preserve"> </w:t>
      </w:r>
      <w:hyperlink r:id="rId26">
        <w:r>
          <w:rPr>
            <w:rStyle w:val="Hyperlink"/>
          </w:rPr>
          <w:t xml:space="preserve">Opções de pesquisa: Filtros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Na seção Ações do agendamento, siga um dos seguintes procedimentos:</w:t>
      </w:r>
    </w:p>
    <w:p>
      <w:pPr>
        <w:pStyle w:val="Compact"/>
        <w:numPr>
          <w:ilvl w:val="1"/>
          <w:numId w:val="1007"/>
        </w:numPr>
      </w:pPr>
      <w:r>
        <w:t xml:space="preserve">Crie uma ação de Atualização em lote.</w:t>
      </w:r>
    </w:p>
    <w:p>
      <w:pPr>
        <w:pStyle w:val="Compact"/>
        <w:numPr>
          <w:ilvl w:val="2"/>
          <w:numId w:val="1008"/>
        </w:numPr>
      </w:pPr>
      <w:r>
        <w:t xml:space="preserve">Clique em Adicionar novo.</w:t>
      </w:r>
    </w:p>
    <w:p>
      <w:pPr>
        <w:pStyle w:val="Compact"/>
        <w:numPr>
          <w:ilvl w:val="2"/>
          <w:numId w:val="1008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08"/>
        </w:numPr>
      </w:pPr>
      <w:r>
        <w:t xml:space="preserve">No campo Tipo, selecione Atualização em lote.</w:t>
      </w:r>
    </w:p>
    <w:p>
      <w:pPr>
        <w:numPr>
          <w:ilvl w:val="2"/>
          <w:numId w:val="1008"/>
        </w:numPr>
      </w:pPr>
      <w:r>
        <w:t xml:space="preserve">Na seção Expressão de valor de campo, selecione o campo que você deseja atualizar em massa.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for em níveis, somente os campos do nível selecionado serão exibidos no seletor de campos.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os campos para os quais você tem direitos de leitura e atualização são exibidos no seletor.</w:t>
      </w:r>
    </w:p>
    <w:p>
      <w:pPr>
        <w:pStyle w:val="Compact"/>
        <w:numPr>
          <w:ilvl w:val="2"/>
          <w:numId w:val="1008"/>
        </w:numPr>
      </w:pPr>
      <w:r>
        <w:t xml:space="preserve">Execute um destes procedimentos:</w:t>
      </w:r>
    </w:p>
    <w:p>
      <w:pPr>
        <w:pStyle w:val="Compact"/>
        <w:numPr>
          <w:ilvl w:val="3"/>
          <w:numId w:val="1009"/>
        </w:numPr>
      </w:pPr>
      <w:r>
        <w:t xml:space="preserve">Selecione o operador estático e informe um novo valor para o campo.</w:t>
      </w:r>
    </w:p>
    <w:p>
      <w:pPr>
        <w:pStyle w:val="Compact"/>
        <w:numPr>
          <w:ilvl w:val="3"/>
          <w:numId w:val="1009"/>
        </w:numPr>
      </w:pPr>
      <w:r>
        <w:t xml:space="preserve"> Selecione o operador mapeado e faça o seguinte:</w:t>
      </w:r>
    </w:p>
    <w:p>
      <w:pPr>
        <w:pStyle w:val="Compact"/>
        <w:numPr>
          <w:ilvl w:val="4"/>
          <w:numId w:val="1010"/>
        </w:numPr>
      </w:pPr>
      <w:r>
        <w:t xml:space="preserve">Na coluna Valor(es), clique nas reticências para abrir a janela do seletor.</w:t>
      </w:r>
    </w:p>
    <w:p>
      <w:pPr>
        <w:numPr>
          <w:ilvl w:val="4"/>
          <w:numId w:val="1010"/>
        </w:numPr>
      </w:pPr>
      <w:r>
        <w:t xml:space="preserve">Na coluna Disponível, selecione os campos a serem mapeados. Suas seleções aparecem na coluna Selecionados.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campos disponíveis exibidos dependem da seleção Agrupar por e são filtrados de acordo com o tipo de campo de destino e os parâmetros da definição de campo de destino.</w:t>
      </w:r>
    </w:p>
    <w:p>
      <w:pPr>
        <w:pStyle w:val="Compact"/>
        <w:numPr>
          <w:ilvl w:val="4"/>
          <w:numId w:val="1010"/>
        </w:numPr>
      </w:pPr>
      <w:r>
        <w:t xml:space="preserve">Quando concluído, clique em OK.</w:t>
      </w:r>
    </w:p>
    <w:p>
      <w:pPr>
        <w:pStyle w:val="Compact"/>
        <w:numPr>
          <w:ilvl w:val="3"/>
          <w:numId w:val="1009"/>
        </w:numPr>
      </w:pPr>
      <w:r>
        <w:t xml:space="preserve">Selecione o operador calculado e faça o seguinte:</w:t>
      </w:r>
    </w:p>
    <w:p>
      <w:pPr>
        <w:pStyle w:val="Compact"/>
        <w:numPr>
          <w:ilvl w:val="4"/>
          <w:numId w:val="1011"/>
        </w:numPr>
      </w:pPr>
      <w:r>
        <w:t xml:space="preserve">Na coluna Valor(es), à direita do campo, clique em Editar. A janela Editor de cálculo é exibida.</w:t>
      </w:r>
    </w:p>
    <w:p>
      <w:pPr>
        <w:numPr>
          <w:ilvl w:val="4"/>
          <w:numId w:val="1011"/>
        </w:numPr>
      </w:pPr>
      <w:r>
        <w:t xml:space="preserve">Na coluna Disponível, clique nos nomes dos campos para colar a sintaxe do caminho completo no local correto do cursor na área de configuração. A fórmula pode ser uma combinação de termos e campos de texto estático, que devem ser separados por um e comercial (&amp;).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selecionar entre 2 e 255 termos ou campos de texto estático.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disponíveis de texto, numérico, lista de valores e ID de rastreamento são baseados no valor Agrupar por na configuração de criação em massa.</w:t>
      </w:r>
    </w:p>
    <w:p>
      <w:pPr>
        <w:numPr>
          <w:ilvl w:val="4"/>
          <w:numId w:val="1012"/>
        </w:numPr>
      </w:pPr>
      <w:r>
        <w:t xml:space="preserve">Quando concluído, clique em OK.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Depois que o sistema valida o cálculo, o valor na coluna Valor(es) é exibido como Definido; se ocorrer um erro com a fórmula, você receberá com um erro de validação. Para obter mais informações, consulte Mensagens de validação do operador calculado.</w:t>
      </w:r>
    </w:p>
    <w:p>
      <w:pPr>
        <w:pStyle w:val="Compact"/>
        <w:numPr>
          <w:ilvl w:val="2"/>
          <w:numId w:val="1008"/>
        </w:numPr>
      </w:pPr>
      <w:r>
        <w:t xml:space="preserve">(Opcional) Para adicionar outras linhas de expressões de valor do campo, clique em Adicionar novo e repita as etapas d e e.</w:t>
      </w:r>
    </w:p>
    <w:p>
      <w:pPr>
        <w:pStyle w:val="Compact"/>
        <w:numPr>
          <w:ilvl w:val="2"/>
          <w:numId w:val="1008"/>
        </w:numPr>
      </w:pPr>
      <w:r>
        <w:t xml:space="preserve">Clique em Salvar.</w:t>
      </w:r>
    </w:p>
    <w:p>
      <w:pPr>
        <w:pStyle w:val="Compact"/>
        <w:numPr>
          <w:ilvl w:val="2"/>
          <w:numId w:val="1008"/>
        </w:numPr>
      </w:pPr>
      <w:r>
        <w:t xml:space="preserve">Clique em</w:t>
      </w:r>
      <w:r>
        <w:t xml:space="preserve"> </w:t>
      </w:r>
      <w:r>
        <w:drawing>
          <wp:inline>
            <wp:extent cx="140676" cy="147071"/>
            <wp:effectExtent b="0" l="0" r="0" t="0"/>
            <wp:docPr descr="Fech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e12b0c74c2013f4ca4447eb1f6811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07"/>
        </w:numPr>
      </w:pPr>
      <w:r>
        <w:t xml:space="preserve">Crie uma ação Referência de criação em lote.</w:t>
      </w:r>
    </w:p>
    <w:p>
      <w:pPr>
        <w:pStyle w:val="Compact"/>
        <w:numPr>
          <w:ilvl w:val="2"/>
          <w:numId w:val="1013"/>
        </w:numPr>
      </w:pPr>
      <w:r>
        <w:t xml:space="preserve">Clique em Adicionar novo.</w:t>
      </w:r>
    </w:p>
    <w:p>
      <w:pPr>
        <w:pStyle w:val="Compact"/>
        <w:numPr>
          <w:ilvl w:val="2"/>
          <w:numId w:val="1013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3"/>
        </w:numPr>
      </w:pPr>
      <w:r>
        <w:t xml:space="preserve">No campo Tipo, selecione Referências de criação em lote.</w:t>
      </w:r>
    </w:p>
    <w:p>
      <w:pPr>
        <w:pStyle w:val="Compact"/>
        <w:numPr>
          <w:ilvl w:val="2"/>
          <w:numId w:val="1013"/>
        </w:numPr>
      </w:pPr>
      <w:r>
        <w:t xml:space="preserve">Na seção Configuração de criação em lote, faça o seguinte:</w:t>
      </w:r>
    </w:p>
    <w:p>
      <w:pPr>
        <w:numPr>
          <w:ilvl w:val="3"/>
          <w:numId w:val="1014"/>
        </w:numPr>
      </w:pPr>
      <w:r>
        <w:t xml:space="preserve">Na lista campo de referência, selecione o campo de referência que você deseja criar em lote. Os campos obrigatórios do aplicativo referenciado aparecem na seção Expressão de valor de campo.</w:t>
      </w:r>
    </w:p>
    <w:p>
      <w:pPr>
        <w:numPr>
          <w:ilvl w:val="3"/>
          <w:numId w:val="1000"/>
        </w:numPr>
      </w:pPr>
      <w:r>
        <w:t xml:space="preserve">Por exemplo: se você tiver um aplicativo Resultados da análise de vulnerabilidades que contém uma referência cruzada ao aplicativo Resultados, você pode criar um novo resultado para toda a vulnerabilidade de registros de resultados de varredura que são retornados pelos seus filtros.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Campos de referência exibe apenas os campos de referência ativos.</w:t>
      </w:r>
    </w:p>
    <w:p>
      <w:pPr>
        <w:pStyle w:val="Compact"/>
        <w:numPr>
          <w:ilvl w:val="3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que não está em nível, siga para a próxima etapa.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em níveis, selecione o nível no qual você deseja criar uma referência.</w:t>
      </w:r>
    </w:p>
    <w:p>
      <w:pPr>
        <w:numPr>
          <w:ilvl w:val="3"/>
          <w:numId w:val="1014"/>
        </w:numPr>
      </w:pPr>
      <w:r>
        <w:t xml:space="preserve">No campo Agrupar por, selecione a opção pela qual você deseja agrupar os novos registros.</w:t>
      </w:r>
    </w:p>
    <w:p>
      <w:pPr>
        <w:numPr>
          <w:ilvl w:val="3"/>
          <w:numId w:val="1000"/>
        </w:numPr>
      </w:pPr>
      <w:r>
        <w:t xml:space="preserve">Por exemplo: se você selecionar Analista de segurança para o campo Agrupar por, será criado 1 resultado para cada grupo de resultados da análise de vulnerabilidade que pertence a cada analista de segurança nos registros retornados pelos filtros. Isso é feito para cada campo selecionado.</w:t>
      </w:r>
    </w:p>
    <w:p>
      <w:pPr>
        <w:numPr>
          <w:ilvl w:val="3"/>
          <w:numId w:val="1000"/>
        </w:numPr>
      </w:pPr>
      <w:r>
        <w:t xml:space="preserve">O seletor de campos Agrupar por aceita a seleção de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do campo dos aplicativos primários. No seletor de campos Agrupar por, clique no sinal de mais (+) ao lado do aplicativo disponível e selecione as relações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desejadas. Selecionar um aplicativo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 todos os níveis necessários para representar a construção. Depois que você selecionar um campo de um aplicativo relacionado, outros aplicativos relacionados não estarão mais disponíveis.</w:t>
      </w:r>
    </w:p>
    <w:p>
      <w:pPr>
        <w:numPr>
          <w:ilvl w:val="3"/>
          <w:numId w:val="1000"/>
        </w:numPr>
      </w:pPr>
      <w:r>
        <w:t xml:space="preserve">No seletor de campos Agrupar por, a construção de relacionamento de metadados do aplicativo primário é baseada exclusivamente nos campos de referência ao aplicativo primário, com a capacidade de expandir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adicionais por meio dos níveis no relacionamento. Você pode selecionar campos únicos e múltiplos de aplicativos primários e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3"/>
          <w:numId w:val="1000"/>
        </w:numPr>
      </w:pPr>
      <w:r>
        <w:t xml:space="preserve">Se os campos Agrupar por selecionados tiverem o valor Sem seleção, eles serão agrupados em um bucket padrão. Crie um registro de referência e vincule todos os registros primários que não puderam ser associados a um agrupamento separado para esse novo registro de referência.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usuários devem ter os privilégios apropriados.</w:t>
      </w:r>
    </w:p>
    <w:p>
      <w:pPr>
        <w:numPr>
          <w:ilvl w:val="3"/>
          <w:numId w:val="1000"/>
        </w:numPr>
      </w:pPr>
      <w:r>
        <w:t xml:space="preserve">Por exemplo, se os campos Agrupar por forem selecionados na Unidade de negócios, mas o usuário não tiver os privilégios apropriados para a unidade de negócios, o usuário não poderá editar a ação.</w:t>
      </w:r>
    </w:p>
    <w:p>
      <w:pPr>
        <w:numPr>
          <w:ilvl w:val="3"/>
          <w:numId w:val="1000"/>
        </w:numPr>
      </w:pPr>
      <w:r>
        <w:t xml:space="preserve">Se a unidade de negócios for selecionada nos campos Agrupar por, mas nenhum campo da unidade de negócios for selecionado, o usuário ainda poderá editar a ação. No entanto, quando os campos da unidade de negócios são selecionados, o usuário não consegue mais editar a ação.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novos registros de referência podem ser agrupados por permissões de registro, grupos de usuários, referência cruzada, registros relacionados e campos de listas de valores.</w:t>
      </w:r>
    </w:p>
    <w:p>
      <w:pPr>
        <w:numPr>
          <w:ilvl w:val="2"/>
          <w:numId w:val="1013"/>
        </w:numPr>
      </w:pPr>
      <w:r>
        <w:t xml:space="preserve">Na seção Expressão de valor de campo, selecione o campo a definir nos novos registros e informe os valores para esses campos.</w:t>
      </w:r>
    </w:p>
    <w:p>
      <w:pPr>
        <w:numPr>
          <w:ilvl w:val="2"/>
          <w:numId w:val="1000"/>
        </w:numPr>
      </w:pPr>
      <w:r>
        <w:t xml:space="preserve">Os campos necessários ao aplicativo referido aparecem por padrão e não é possível removê-los.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Somente os campos do nível selecionado do campo de referência são exibidos no seletor de campos.</w:t>
      </w:r>
    </w:p>
    <w:p>
      <w:pPr>
        <w:pStyle w:val="Compact"/>
        <w:numPr>
          <w:ilvl w:val="2"/>
          <w:numId w:val="1013"/>
        </w:numPr>
      </w:pPr>
      <w:r>
        <w:t xml:space="preserve">(Opcional) Para adicionar uma linha de critérios adicionais, clique em Adicionar novo e repita a etapa e.</w:t>
      </w:r>
    </w:p>
    <w:p>
      <w:pPr>
        <w:pStyle w:val="Compact"/>
        <w:numPr>
          <w:ilvl w:val="2"/>
          <w:numId w:val="1013"/>
        </w:numPr>
      </w:pPr>
      <w:r>
        <w:t xml:space="preserve">Clique em Salvar.</w:t>
      </w:r>
    </w:p>
    <w:p>
      <w:pPr>
        <w:pStyle w:val="Compact"/>
        <w:numPr>
          <w:ilvl w:val="2"/>
          <w:numId w:val="1013"/>
        </w:numPr>
      </w:pPr>
      <w:r>
        <w:t xml:space="preserve">Clique em</w:t>
      </w:r>
      <w:r>
        <w:t xml:space="preserve"> </w:t>
      </w:r>
      <w:r>
        <w:drawing>
          <wp:inline>
            <wp:extent cx="140676" cy="147071"/>
            <wp:effectExtent b="0" l="0" r="0" t="0"/>
            <wp:docPr descr="Fechar" title="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e12b0c74c2013f4ca4447eb1f6811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6"/>
        </w:numPr>
      </w:pPr>
      <w:r>
        <w:t xml:space="preserve">Crie uma ação de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Adicionar novo.</w:t>
      </w:r>
    </w:p>
    <w:p>
      <w:pPr>
        <w:pStyle w:val="Compact"/>
        <w:numPr>
          <w:ilvl w:val="2"/>
          <w:numId w:val="1017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7"/>
        </w:numPr>
      </w:pPr>
      <w:r>
        <w:t xml:space="preserve">No campo Tipo, selecione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Salvar.</w:t>
      </w:r>
    </w:p>
    <w:p>
      <w:pPr>
        <w:pStyle w:val="Compact"/>
        <w:numPr>
          <w:ilvl w:val="2"/>
          <w:numId w:val="1017"/>
        </w:numPr>
      </w:pPr>
      <w:r>
        <w:t xml:space="preserve">Clique em</w:t>
      </w:r>
      <w:r>
        <w:t xml:space="preserve"> </w:t>
      </w:r>
      <w:r>
        <w:drawing>
          <wp:inline>
            <wp:extent cx="140676" cy="147071"/>
            <wp:effectExtent b="0" l="0" r="0" t="0"/>
            <wp:docPr descr="Fechar" title="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e12b0c74c2013f4ca4447eb1f6811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8"/>
        </w:numPr>
      </w:pPr>
      <w:r>
        <w:t xml:space="preserve">Reorganize a ordem em que as ações ocorrem.</w:t>
      </w:r>
    </w:p>
    <w:p>
      <w:pPr>
        <w:pStyle w:val="Compact"/>
        <w:numPr>
          <w:ilvl w:val="2"/>
          <w:numId w:val="1019"/>
        </w:numPr>
      </w:pPr>
      <w:r>
        <w:t xml:space="preserve">Clique em Configurar ordem.</w:t>
      </w:r>
    </w:p>
    <w:p>
      <w:pPr>
        <w:pStyle w:val="Compact"/>
        <w:numPr>
          <w:ilvl w:val="2"/>
          <w:numId w:val="1019"/>
        </w:numPr>
      </w:pPr>
      <w:r>
        <w:t xml:space="preserve">Arraste e solte as ações na ordem desejada de ocorrência.</w:t>
      </w:r>
    </w:p>
    <w:p>
      <w:pPr>
        <w:pStyle w:val="Compact"/>
        <w:numPr>
          <w:ilvl w:val="2"/>
          <w:numId w:val="1019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drawing>
          <wp:inline>
            <wp:extent cx="140676" cy="147071"/>
            <wp:effectExtent b="0" l="0" r="0" t="0"/>
            <wp:docPr descr="Fechar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e12b0c74c2013f4ca4447eb1f6811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voltar à página Gerenciar agendamento.</w:t>
      </w:r>
    </w:p>
    <w:bookmarkEnd w:id="36"/>
    <w:bookmarkStart w:id="57" w:name="Gerenciaragendamentos"/>
    <w:p>
      <w:pPr>
        <w:pStyle w:val="Heading2"/>
      </w:pPr>
      <w:r>
        <w:t xml:space="preserve">Gerenciar agendamentos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só pode gerenciar agendamentos dos quais seja proprietário, a menos que seja administrador do sistema ou administrador de configuração do aplicativo em questão.</w:t>
      </w:r>
    </w:p>
    <w:p>
      <w:pPr>
        <w:numPr>
          <w:ilvl w:val="0"/>
          <w:numId w:val="1020"/>
        </w:numPr>
      </w:pPr>
      <w:r>
        <w:t xml:space="preserve">Acesse a página Gerenciar agendamento do aplicativo para o qual você deseja gerenciar uma ação em lote.</w:t>
      </w:r>
    </w:p>
    <w:p>
      <w:pPr>
        <w:pStyle w:val="Compact"/>
        <w:numPr>
          <w:ilvl w:val="1"/>
          <w:numId w:val="1021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solução</w:t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Clique na solução.</w:t>
      </w:r>
    </w:p>
    <w:p>
      <w:pPr>
        <w:pStyle w:val="Compact"/>
        <w:numPr>
          <w:ilvl w:val="1"/>
          <w:numId w:val="1021"/>
        </w:numPr>
      </w:pPr>
      <w:r>
        <w:t xml:space="preserve">Na lista Aplicativos, clique no ícone</w:t>
      </w:r>
      <w:r>
        <w:t xml:space="preserve"> </w:t>
      </w:r>
      <w:r>
        <w:drawing>
          <wp:inline>
            <wp:extent cx="259882" cy="259882"/>
            <wp:effectExtent b="0" l="0" r="0" t="0"/>
            <wp:docPr descr="Agendamento" title="Agendamento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792b359c9136d4eca99033b0b04647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perto do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20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22"/>
        </w:numPr>
      </w:pPr>
      <w:r>
        <w:t xml:space="preserve">Para editar um agendamento, clique no nome do agendamento ou, na coluna Ações, clique em</w:t>
      </w:r>
      <w:r>
        <w:t xml:space="preserve"> </w:t>
      </w:r>
      <w:r>
        <w:drawing>
          <wp:inline>
            <wp:extent cx="287748" cy="287748"/>
            <wp:effectExtent b="0" l="0" r="0" t="0"/>
            <wp:docPr descr="Editar" title="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0cc7a39719720cf29cf8ab77274f8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Atualize o agendamento conforme necessário e clique em Salvar.</w:t>
      </w:r>
    </w:p>
    <w:p>
      <w:pPr>
        <w:pStyle w:val="Compact"/>
        <w:numPr>
          <w:ilvl w:val="1"/>
          <w:numId w:val="1022"/>
        </w:numPr>
      </w:pPr>
      <w:r>
        <w:t xml:space="preserve">Para excluir um agendamento, na coluna Ações do agendamento que deseja excluir, clique em</w:t>
      </w:r>
      <w:r>
        <w:t xml:space="preserve"> </w:t>
      </w:r>
      <w:r>
        <w:drawing>
          <wp:inline>
            <wp:extent cx="127888" cy="134282"/>
            <wp:effectExtent b="0" l="0" r="0" t="0"/>
            <wp:docPr descr="Excluir" title="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85cc7554817518e725de64bcb425cf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Quando solicitado se deseja continuar, clique em Excluir.</w:t>
      </w:r>
    </w:p>
    <w:p>
      <w:pPr>
        <w:numPr>
          <w:ilvl w:val="1"/>
          <w:numId w:val="1022"/>
        </w:numPr>
      </w:pPr>
      <w:r>
        <w:t xml:space="preserve">Para executar um agendamento, na coluna Ações do agendamento que deseja executar, clique em</w:t>
      </w:r>
      <w:r>
        <w:t xml:space="preserve"> </w:t>
      </w:r>
      <w:r>
        <w:drawing>
          <wp:inline>
            <wp:extent cx="133907" cy="133907"/>
            <wp:effectExtent b="0" l="0" r="0" t="0"/>
            <wp:docPr descr="Duas engrenagens" title="" id="4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919ffba9e9492c8672e783e3a20584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07" cy="13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 e não do usuário atribuído a Executar como no agendamento.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O trabalho executa os critérios de pesquisa e executa as ações definidas no agendamento. Quando o trabalho estiver concluído, visualize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 e o número de registros em andamento.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22"/>
        </w:numPr>
      </w:pPr>
      <w:r>
        <w:t xml:space="preserve">Para enviar por e-mail um agendamento, clique no agendamento a compartilhar e em</w:t>
      </w:r>
      <w:r>
        <w:t xml:space="preserve"> </w:t>
      </w:r>
      <w:r>
        <w:drawing>
          <wp:inline>
            <wp:extent cx="422030" cy="179043"/>
            <wp:effectExtent b="0" l="0" r="0" t="0"/>
            <wp:docPr descr="E-mail" title="E-mail" id="5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1cab3151d140223d145dbedb272f14f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23"/>
        </w:numPr>
      </w:pPr>
      <w:r>
        <w:t xml:space="preserve">Clique na guia Detalhes da execução agendada.</w:t>
      </w:r>
    </w:p>
    <w:p>
      <w:pPr>
        <w:numPr>
          <w:ilvl w:val="1"/>
          <w:numId w:val="1023"/>
        </w:numPr>
      </w:pPr>
      <w:r>
        <w:t xml:space="preserve">Na coluna Relatório da programação que você deseja visualizar, clique em</w:t>
      </w:r>
      <w:r>
        <w:t xml:space="preserve"> </w:t>
      </w:r>
      <w:r>
        <w:drawing>
          <wp:inline>
            <wp:extent cx="202130" cy="221381"/>
            <wp:effectExtent b="0" l="0" r="0" t="0"/>
            <wp:docPr descr="Gerenciar relatórios" title="" id="5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4a2196c1bbf1e0f0217eefac66342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clique em Atualizar para carregar os resultados mais recentes.</w:t>
      </w:r>
    </w:p>
    <w:p>
      <w:pPr>
        <w:pStyle w:val="Compact"/>
        <w:numPr>
          <w:ilvl w:val="1"/>
          <w:numId w:val="1023"/>
        </w:numPr>
      </w:pPr>
      <w:r>
        <w:t xml:space="preserve">Clique em OK para fechar o relatório.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hyperlink" Id="rId25" Target="../notifications/note_admin_adding.htm" TargetMode="External" /><Relationship Type="http://schemas.openxmlformats.org/officeDocument/2006/relationships/hyperlink" Id="rId26" Target="../searchclassic/srchrpt_classic_search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notifications/note_admin_adding.htm" TargetMode="External" /><Relationship Type="http://schemas.openxmlformats.org/officeDocument/2006/relationships/hyperlink" Id="rId26" Target="../searchclassic/srchrpt_classic_search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2025-03-06T16:45:44Z</dcterms:created>
  <dcterms:modified xsi:type="dcterms:W3CDTF">2025-03-06T16:45:44Z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