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pesquisar"/>
    <w:p>
      <w:pPr>
        <w:pStyle w:val="Heading1"/>
      </w:pPr>
      <w:r>
        <w:t xml:space="preserve">Pesquisar</w:t>
      </w:r>
    </w:p>
    <w:p>
      <w:pPr>
        <w:pStyle w:val="FirstParagraph"/>
      </w:pPr>
      <w:r>
        <w:t xml:space="preserve">A Archer lançou a Próxima Geração do recurso de pesquisa Archer.</w:t>
      </w:r>
    </w:p>
    <w:p>
      <w:pPr>
        <w:pStyle w:val="BodyText"/>
      </w:pPr>
      <w:r>
        <w:t xml:space="preserve">Você pode continuar usando o recurso Pesquisa Clássica por algum tempo. Consulte Experiências do usuário de última geração do Archer para obter informações sobre as experiências Clássica e de Última Geração.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2025-02-19T20:20:50Z</dcterms:created>
  <dcterms:modified xsi:type="dcterms:W3CDTF">2025-02-19T20:20:50Z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