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criptografia-de-dados-em-repouso-1"/>
    <w:p>
      <w:pPr>
        <w:pStyle w:val="Heading1"/>
      </w:pPr>
      <w:r>
        <w:t xml:space="preserve">Criptografia de dados em repouso</w:t>
      </w:r>
    </w:p>
    <w:p>
      <w:pPr>
        <w:pStyle w:val="FirstParagraph"/>
      </w:pPr>
      <w:r>
        <w:t xml:space="preserve">É recomendável fazer backup de seus dados confidenciais, criptografá-los e mantê-los em um local físico seguro, de acordo com as políticas corporativas de recuperação de desastres e de continuidade dos negócios, inclusive:</w:t>
      </w:r>
    </w:p>
    <w:p>
      <w:pPr>
        <w:pStyle w:val="Compact"/>
        <w:numPr>
          <w:ilvl w:val="0"/>
          <w:numId w:val="1001"/>
        </w:numPr>
      </w:pPr>
      <w:r>
        <w:t xml:space="preserve">Um backup completo de seu banco de dados (para obter mais informações, consulte a Biblioteca Microsoft TechNet.)</w:t>
      </w:r>
    </w:p>
    <w:p>
      <w:pPr>
        <w:pStyle w:val="Compact"/>
        <w:numPr>
          <w:ilvl w:val="0"/>
          <w:numId w:val="1001"/>
        </w:numPr>
      </w:pPr>
      <w:r>
        <w:t xml:space="preserve">Arquivos de registros</w:t>
      </w:r>
    </w:p>
    <w:p>
      <w:pPr>
        <w:pStyle w:val="Compact"/>
        <w:numPr>
          <w:ilvl w:val="0"/>
          <w:numId w:val="1001"/>
        </w:numPr>
      </w:pPr>
      <w:r>
        <w:t xml:space="preserve">Arquivos de configuração</w:t>
      </w:r>
    </w:p>
    <w:p>
      <w:pPr>
        <w:pStyle w:val="Compact"/>
        <w:numPr>
          <w:ilvl w:val="0"/>
          <w:numId w:val="1001"/>
        </w:numPr>
      </w:pPr>
      <w:r>
        <w:t xml:space="preserve">Senha para o Administrador do sistema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Para ajudar a proteger dados on-line, como banco de dados atual, arquivo de log e arquivos de configuração, é recomendável que você restrinja o acesso aos arquivos e banco de dados, além de configurar as permissões apenas para administradores confiáveis.</w:t>
      </w:r>
    </w:p>
    <w:p>
      <w:pPr>
        <w:pStyle w:val="BodyText"/>
      </w:pPr>
      <w:r>
        <w:t xml:space="preserve">O repositório de arquivos e o armazenamento de certificados do Windows devem estar localizados em máquinas separadas.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2025-03-06T16:49:53Z</dcterms:created>
  <dcterms:modified xsi:type="dcterms:W3CDTF">2025-03-06T16:49:53Z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