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caminho-do-repositório-de-arquivos-1"/>
    <w:p>
      <w:pPr>
        <w:pStyle w:val="Heading1"/>
      </w:pPr>
      <w:r>
        <w:t xml:space="preserve">Caminho do repositório de arquivos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arquivos. O local padrão é C:\ArcherFiles\Repository.</w:t>
      </w:r>
    </w:p>
    <w:p>
      <w:pPr>
        <w:pStyle w:val="BodyText"/>
      </w:pPr>
      <w:r>
        <w:t xml:space="preserve">É recomendável definir o local da pasta do repositório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compartilhamento que usa caminho UNC fora de qualquer servidor da Web e de serviços. Ao fazer isso, a possibilidade de ataques de negação de serviço e da criação de arquivo grande é eliminada.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planeja usar criptografia de dados, o repositório de arquivos e o armazenamento de certificados do Windows devem estar localizados em máquinas separadas.</w:t>
      </w:r>
    </w:p>
    <w:p>
      <w:pPr>
        <w:pStyle w:val="BodyText"/>
      </w:pPr>
      <w:r>
        <w:t xml:space="preserve">Para obter instruções sobre como configurar o caminho do repositório, consulte "Designar caminho do repositório de arquivos"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2025-02-19T20:21:56Z</dcterms:created>
  <dcterms:modified xsi:type="dcterms:W3CDTF">2025-02-19T20:21:56Z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