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Override PartName="/word/media/rId40.png" ContentType="image/png"/>
  <Override PartName="/word/media/rId22.png" ContentType="image/png"/>
  <Override PartName="/word/media/rId33.png" ContentType="image/png"/>
  <Override PartName="/word/media/rId47.png" ContentType="image/png"/>
  <Override PartName="/word/media/rId4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mc-main-content"/>
    <w:bookmarkStart w:id="51" w:name="adicionando-campos-numéricos-1"/>
    <w:p>
      <w:pPr>
        <w:pStyle w:val="Heading1"/>
      </w:pPr>
      <w:bookmarkStart w:id="20" w:name="aanchor159"/>
      <w:bookmarkEnd w:id="20"/>
      <w:r>
        <w:t xml:space="preserve"> </w:t>
      </w:r>
      <w:r>
        <w:t xml:space="preserve">Adicionando campos numéricos</w:t>
      </w:r>
    </w:p>
    <w:p>
      <w:pPr>
        <w:pStyle w:val="FirstParagraph"/>
      </w:pPr>
      <w:r>
        <w:t xml:space="preserve">Use o tipo de campo Numérico para exibir valores numéricos, incluindo valores calculados ou valores de tendência de rastreamento. Você também pode definir filtros que permitem aos usuários pesquisar o campo com mais de um valor.</w:t>
      </w:r>
    </w:p>
    <w:p>
      <w:pPr>
        <w:pStyle w:val="BodyText"/>
      </w:pPr>
      <w:r>
        <w:t xml:space="preserve">Nesta página</w:t>
      </w:r>
    </w:p>
    <w:p>
      <w:pPr>
        <w:pStyle w:val="Compact"/>
        <w:numPr>
          <w:ilvl w:val="0"/>
          <w:numId w:val="1001"/>
        </w:numPr>
      </w:pPr>
      <w:hyperlink w:anchor="X94bcc1bccd38bc4ec42a106759247702f7f31d7">
        <w:r>
          <w:rPr>
            <w:rStyle w:val="Hyperlink"/>
          </w:rPr>
          <w:t xml:space="preserve">Considerações ao configurar campos numéricos</w:t>
        </w:r>
      </w:hyperlink>
    </w:p>
    <w:p>
      <w:pPr>
        <w:pStyle w:val="Compact"/>
        <w:numPr>
          <w:ilvl w:val="0"/>
          <w:numId w:val="1001"/>
        </w:numPr>
      </w:pPr>
      <w:hyperlink w:anchor="Tarefa1Criarocampo">
        <w:r>
          <w:rPr>
            <w:rStyle w:val="Hyperlink"/>
          </w:rPr>
          <w:t xml:space="preserve">Tarefa 1: Criar o campo</w:t>
        </w:r>
      </w:hyperlink>
    </w:p>
    <w:p>
      <w:pPr>
        <w:pStyle w:val="Compact"/>
        <w:numPr>
          <w:ilvl w:val="0"/>
          <w:numId w:val="1001"/>
        </w:numPr>
      </w:pPr>
      <w:hyperlink w:anchor="Tarefa2Configurarasop%C3%A7%C3%B5es">
        <w:r>
          <w:rPr>
            <w:rStyle w:val="Hyperlink"/>
          </w:rPr>
          <w:t xml:space="preserve">Tarefa 2: Configurar as opções</w:t>
        </w:r>
      </w:hyperlink>
    </w:p>
    <w:p>
      <w:pPr>
        <w:pStyle w:val="Compact"/>
        <w:numPr>
          <w:ilvl w:val="0"/>
          <w:numId w:val="1001"/>
        </w:numPr>
      </w:pPr>
      <w:hyperlink w:anchor="X14301b0c3cfaf87a1e8818226ed127cdfce48b0">
        <w:r>
          <w:rPr>
            <w:rStyle w:val="Hyperlink"/>
          </w:rPr>
          <w:t xml:space="preserve">Tarefa 3: Definir as opções de configuração</w:t>
        </w:r>
      </w:hyperlink>
    </w:p>
    <w:p>
      <w:pPr>
        <w:pStyle w:val="Compact"/>
        <w:numPr>
          <w:ilvl w:val="0"/>
          <w:numId w:val="1001"/>
        </w:numPr>
      </w:pPr>
      <w:hyperlink w:anchor="Tarefa4definirumintervalonum%C3%A9rico">
        <w:r>
          <w:rPr>
            <w:rStyle w:val="Hyperlink"/>
          </w:rPr>
          <w:t xml:space="preserve">Tarefa 4: definir um intervalo numérico</w:t>
        </w:r>
      </w:hyperlink>
    </w:p>
    <w:p>
      <w:pPr>
        <w:pStyle w:val="Compact"/>
        <w:numPr>
          <w:ilvl w:val="0"/>
          <w:numId w:val="1001"/>
        </w:numPr>
      </w:pPr>
      <w:hyperlink w:anchor="Tarefa5Configurarotextodeajuda">
        <w:r>
          <w:rPr>
            <w:rStyle w:val="Hyperlink"/>
          </w:rPr>
          <w:t xml:space="preserve">Tarefa 5: Configurar o texto de ajuda</w:t>
        </w:r>
      </w:hyperlink>
    </w:p>
    <w:p>
      <w:pPr>
        <w:pStyle w:val="Compact"/>
        <w:numPr>
          <w:ilvl w:val="0"/>
          <w:numId w:val="1001"/>
        </w:numPr>
      </w:pPr>
      <w:hyperlink w:anchor="Tarefa6Configuraroacessoaoarquivo">
        <w:r>
          <w:rPr>
            <w:rStyle w:val="Hyperlink"/>
          </w:rPr>
          <w:t xml:space="preserve">Tarefa 6: Configurar o acesso ao arquivo</w:t>
        </w:r>
      </w:hyperlink>
    </w:p>
    <w:bookmarkStart w:id="21" w:name="Consideraçõesaoconfigurarcamposnuméricos"/>
    <w:p>
      <w:pPr>
        <w:pStyle w:val="Heading2"/>
      </w:pPr>
      <w:r>
        <w:t xml:space="preserve">Considerações ao configurar campos numéricos</w:t>
      </w:r>
    </w:p>
    <w:p>
      <w:pPr>
        <w:pStyle w:val="FirstParagraph"/>
      </w:pPr>
      <w:r>
        <w:t xml:space="preserve">Ao configurar campos numéricos, considere o seguinte:</w:t>
      </w:r>
    </w:p>
    <w:p>
      <w:pPr>
        <w:numPr>
          <w:ilvl w:val="0"/>
          <w:numId w:val="1002"/>
        </w:numPr>
      </w:pPr>
      <w:r>
        <w:t xml:space="preserve">Defina um valor máximo de 9.999.999.999.999 e um máximo de 15 caracteres numéricos, incluindo caracteres após um ponto decimal. Defina um valor de até 9.999.999.999.999 ou um valor de no máximo 15 caracteres numéricos, incluindo caracteres após um ponto decimal.</w:t>
      </w:r>
    </w:p>
    <w:p>
      <w:pPr>
        <w:numPr>
          <w:ilvl w:val="0"/>
          <w:numId w:val="1002"/>
        </w:numPr>
      </w:pPr>
      <w:r>
        <w:t xml:space="preserve">Os campos numéricos aceitam valores positivos e negativos de até 13 dígitos antes de um ponto decimal e 2 dígitos depois. Para valores não inteiros menores que o valor máximo permitido, os campos numéricos aceitam valores de até nove dígitos antes de um ponto decimal e 6 dígitos depois.</w:t>
      </w:r>
    </w:p>
    <w:p>
      <w:pPr>
        <w:numPr>
          <w:ilvl w:val="0"/>
          <w:numId w:val="1000"/>
        </w:numPr>
      </w:pPr>
      <w:r>
        <w:t xml:space="preserve">Por exemplo, o valor 9.999.999.999.998,99 inclui 13 dígitos antes da vírgula decimal e 2 dígitos depois. O valor 999.999.999,999999 inclui 6 dígitos ou o número máximo de dígitos que você pode definir após a vírgula decimal.</w:t>
      </w:r>
    </w:p>
    <w:p>
      <w:pPr>
        <w:numPr>
          <w:ilvl w:val="0"/>
          <w:numId w:val="1002"/>
        </w:numPr>
      </w:pPr>
      <w:r>
        <w:t xml:space="preserve">Um valor de Nenhum permite que qualquer número de casas decimais (0-6) seja inserido. Um valor de 0 (zero) não permite que qualquer casas decimais sejam inseridas</w:t>
      </w:r>
      <w:r>
        <w:br/>
      </w:r>
    </w:p>
    <w:bookmarkEnd w:id="21"/>
    <w:bookmarkStart w:id="25" w:name="Tarefa1Criarocampo"/>
    <w:p>
      <w:pPr>
        <w:pStyle w:val="Heading2"/>
      </w:pPr>
      <w:r>
        <w:t xml:space="preserve">Tarefa 1: Criar o campo</w:t>
      </w:r>
    </w:p>
    <w:p>
      <w:pPr>
        <w:pStyle w:val="Compact"/>
        <w:numPr>
          <w:ilvl w:val="0"/>
          <w:numId w:val="1003"/>
        </w:numPr>
      </w:pPr>
      <w:r>
        <w:t xml:space="preserve">Em seu aplicativo, acesse a guia Designer &gt; guia Layout &gt; painel Objetos &gt; e clique em</w:t>
      </w:r>
      <w:r>
        <w:t xml:space="preserve"> </w:t>
      </w:r>
      <w:r>
        <w:drawing>
          <wp:inline>
            <wp:extent cx="134282" cy="134282"/>
            <wp:effectExtent b="0" l="0" r="0" t="0"/>
            <wp:docPr descr="Adicionar novo" title="Adicionar novo" id="23" name="Picture"/>
            <a:graphic>
              <a:graphicData uri="http://schemas.openxmlformats.org/drawingml/2006/picture">
                <pic:pic>
                  <pic:nvPicPr>
                    <pic:cNvPr descr="C:/Users/samue/WebScrapper/HelpArcher-to-pdf/images/a23d7906035fbe6c8d79f15b4dd69b8e.png" id="24" name="Picture"/>
                    <pic:cNvPicPr>
                      <a:picLocks noChangeArrowheads="1" noChangeAspect="1"/>
                    </pic:cNvPicPr>
                  </pic:nvPicPr>
                  <pic:blipFill>
                    <a:blip r:embed="rId22"/>
                    <a:stretch>
                      <a:fillRect/>
                    </a:stretch>
                  </pic:blipFill>
                  <pic:spPr bwMode="auto">
                    <a:xfrm>
                      <a:off x="0" y="0"/>
                      <a:ext cx="134282" cy="134282"/>
                    </a:xfrm>
                    <a:prstGeom prst="rect">
                      <a:avLst/>
                    </a:prstGeom>
                    <a:noFill/>
                    <a:ln w="9525">
                      <a:noFill/>
                      <a:headEnd/>
                      <a:tailEnd/>
                    </a:ln>
                  </pic:spPr>
                </pic:pic>
              </a:graphicData>
            </a:graphic>
          </wp:inline>
        </w:drawing>
      </w:r>
      <w:r>
        <w:t xml:space="preserve">.</w:t>
      </w:r>
    </w:p>
    <w:p>
      <w:pPr>
        <w:numPr>
          <w:ilvl w:val="0"/>
          <w:numId w:val="1003"/>
        </w:numPr>
      </w:pPr>
      <w:r>
        <w:t xml:space="preserve">Selecione um tipo de campo na lista suspensa, digite um nome para o campo e clique em Criar campo.</w:t>
      </w:r>
    </w:p>
    <w:p>
      <w:pPr>
        <w:numPr>
          <w:ilvl w:val="0"/>
          <w:numId w:val="1000"/>
        </w:numPr>
      </w:pPr>
      <w:r>
        <w:t xml:space="preserve">Diretrizes de nome de campo:</w:t>
      </w:r>
    </w:p>
    <w:p>
      <w:pPr>
        <w:pStyle w:val="Compact"/>
        <w:numPr>
          <w:ilvl w:val="1"/>
          <w:numId w:val="1004"/>
        </w:numPr>
      </w:pPr>
      <w:r>
        <w:t xml:space="preserve">Se possível, mantenha os nomes com menos de 20 caracteres. Por exemplo, use Descrição em vez de Descrição do ativo.</w:t>
      </w:r>
    </w:p>
    <w:p>
      <w:pPr>
        <w:pStyle w:val="Compact"/>
        <w:numPr>
          <w:ilvl w:val="1"/>
          <w:numId w:val="1004"/>
        </w:numPr>
      </w:pPr>
      <w:r>
        <w:t xml:space="preserve">Coloque em maiúscula a primeira letra de cada palavra no nome do campo. Por exemplo, use Impacto Previsto em vez de Impacto previsto.</w:t>
      </w:r>
    </w:p>
    <w:p>
      <w:pPr>
        <w:pStyle w:val="Compact"/>
        <w:numPr>
          <w:ilvl w:val="1"/>
          <w:numId w:val="1004"/>
        </w:numPr>
      </w:pPr>
      <w:r>
        <w:t xml:space="preserve">Evite palavras redundantes ao nomear os campos. Por exemplo, a palavra Ativo é desnecessária na série de campos: Nome do ativo, Tipo do ativo e Valor do ativo.</w:t>
      </w:r>
    </w:p>
    <w:p>
      <w:pPr>
        <w:pStyle w:val="Compact"/>
        <w:numPr>
          <w:ilvl w:val="1"/>
          <w:numId w:val="1004"/>
        </w:numPr>
      </w:pPr>
      <w:r>
        <w:t xml:space="preserve">Use substantivos como nomes de campo sempre que possível. Evite usar verbos como nomes de campos, por exemplo, Definir nome do ativo.</w:t>
      </w:r>
    </w:p>
    <w:p>
      <w:pPr>
        <w:pStyle w:val="Compact"/>
        <w:numPr>
          <w:ilvl w:val="1"/>
          <w:numId w:val="1004"/>
        </w:numPr>
      </w:pPr>
      <w:r>
        <w:t xml:space="preserve">Não use os nomes: Versão, ID de nível nem ID de conteúdo para os campos que você adicionar a um aplicativo ou questionário. O campo não é exibido corretamente com esses nomes.</w:t>
      </w:r>
    </w:p>
    <w:p>
      <w:pPr>
        <w:numPr>
          <w:ilvl w:val="0"/>
          <w:numId w:val="1003"/>
        </w:numPr>
      </w:pPr>
      <w:r>
        <w:t xml:space="preserve">Na seção Informações gerais, digite uma descrição.</w:t>
      </w:r>
    </w:p>
    <w:p>
      <w:pPr>
        <w:numPr>
          <w:ilvl w:val="0"/>
          <w:numId w:val="1000"/>
        </w:numPr>
      </w:pPr>
      <w:r>
        <w:rPr>
          <w:b/>
          <w:bCs/>
        </w:rPr>
        <w:t xml:space="preserve">Observação:</w:t>
      </w:r>
      <w:r>
        <w:t xml:space="preserve"> </w:t>
      </w:r>
      <w:r>
        <w:t xml:space="preserve">Quando você salva o campo, o sistema remove as tags HTML &lt;xml&gt;, &lt;form&gt;, &lt;textarea&gt;, &lt;option&gt;, &lt;select&gt;, &lt;meta&gt; e &lt;body&gt; que você pode ter digitado na descrição, porque elas podem causar vulnerabilidades no sistema. O exemplo a seguir mostra como você pode corrigir a sintaxe de CSS (Cascading Style Sheet, folha de estilos em cascata) para a marca &lt;body&gt; para que funcione corretamente:</w:t>
      </w:r>
    </w:p>
    <w:p>
      <w:pPr>
        <w:numPr>
          <w:ilvl w:val="0"/>
          <w:numId w:val="1000"/>
        </w:numPr>
      </w:pPr>
      <w:r>
        <w:t xml:space="preserve">&lt;html&gt;</w:t>
      </w:r>
      <w:r>
        <w:br/>
      </w:r>
      <w:r>
        <w:br/>
      </w:r>
      <w:r>
        <w:t xml:space="preserve">&lt;head&gt;</w:t>
      </w:r>
      <w:r>
        <w:br/>
      </w:r>
      <w:r>
        <w:br/>
      </w:r>
      <w:r>
        <w:t xml:space="preserve">&lt;style type="text/css"&gt;.c0 { font-family: 'Arial' } .c1 { margin: 0px; background-color: #ffe4e1 } &lt;/style&gt;</w:t>
      </w:r>
      <w:r>
        <w:br/>
      </w:r>
      <w:r>
        <w:br/>
      </w:r>
      <w:r>
        <w:t xml:space="preserve">&lt;/head&gt;</w:t>
      </w:r>
      <w:r>
        <w:br/>
      </w:r>
      <w:r>
        <w:br/>
      </w:r>
      <w:r>
        <w:t xml:space="preserve">&lt;body class="c0"&gt;</w:t>
      </w:r>
      <w:r>
        <w:br/>
      </w:r>
      <w:r>
        <w:br/>
      </w:r>
      <w:r>
        <w:t xml:space="preserve">&lt;p class="c1"&gt;This is a text field.&lt;/p&gt;</w:t>
      </w:r>
      <w:r>
        <w:br/>
      </w:r>
      <w:r>
        <w:br/>
      </w:r>
      <w:r>
        <w:t xml:space="preserve">&lt;/body&gt;</w:t>
      </w:r>
      <w:r>
        <w:br/>
      </w:r>
      <w:r>
        <w:br/>
      </w:r>
      <w:r>
        <w:t xml:space="preserve">&lt;/html&gt;</w:t>
      </w:r>
    </w:p>
    <w:p>
      <w:pPr>
        <w:numPr>
          <w:ilvl w:val="0"/>
          <w:numId w:val="1000"/>
        </w:numPr>
      </w:pPr>
      <w:r>
        <w:rPr>
          <w:b/>
          <w:bCs/>
        </w:rPr>
        <w:t xml:space="preserve">Observação:</w:t>
      </w:r>
      <w:r>
        <w:t xml:space="preserve"> </w:t>
      </w:r>
      <w:r>
        <w:t xml:space="preserve">Não use posicionamento absoluto no conteúdo de HTML.</w:t>
      </w:r>
    </w:p>
    <w:bookmarkEnd w:id="25"/>
    <w:bookmarkStart w:id="30" w:name="Tarefa2Configurarasopções"/>
    <w:p>
      <w:pPr>
        <w:pStyle w:val="Heading2"/>
      </w:pPr>
      <w:r>
        <w:t xml:space="preserve">Tarefa 2: Configurar as opções</w:t>
      </w:r>
    </w:p>
    <w:p>
      <w:pPr>
        <w:pStyle w:val="FirstParagraph"/>
      </w:pPr>
      <w:r>
        <w:t xml:space="preserve">Na seção Opções, selecione todas as opções a seguir que se aplicam ao campo.</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Este é um campo obrigatório</w:t>
            </w:r>
          </w:p>
        </w:tc>
        <w:tc>
          <w:tcPr/>
          <w:p>
            <w:pPr>
              <w:pStyle w:val="BodyText"/>
            </w:pPr>
            <w:r>
              <w:t xml:space="preserve">Determina que um campo é obrigatório e força os usuários a especificar um valor ao adicionar ou editar um registro no aplicativo. Um ícone indica os campos obrigatórios para alertar os usuários de que eles devem informar um valor.</w:t>
            </w:r>
          </w:p>
        </w:tc>
      </w:tr>
      <w:tr>
        <w:tc>
          <w:tcPr/>
          <w:p>
            <w:pPr>
              <w:pStyle w:val="BodyText"/>
            </w:pPr>
            <w:r>
              <w:t xml:space="preserve">Exibir data da última modificação</w:t>
            </w:r>
          </w:p>
        </w:tc>
        <w:tc>
          <w:tcPr/>
          <w:p>
            <w:pPr>
              <w:pStyle w:val="BodyText"/>
            </w:pPr>
            <w:r>
              <w:t xml:space="preserve">Exibe a data e hora da última atualização do campo e o nome da pessoa que fez a alteração.</w:t>
            </w:r>
          </w:p>
        </w:tc>
      </w:tr>
      <w:tr>
        <w:tc>
          <w:tcPr/>
          <w:p>
            <w:pPr>
              <w:pStyle w:val="BodyText"/>
            </w:pPr>
            <w:r>
              <w:t xml:space="preserve">Tornar este campo pesquisável</w:t>
            </w:r>
          </w:p>
        </w:tc>
        <w:tc>
          <w:tcPr/>
          <w:p>
            <w:pPr>
              <w:pStyle w:val="BodyText"/>
            </w:pPr>
            <w:r>
              <w:t xml:space="preserve">Disponibiliza este campo para exibição em todos os resultados da pesquisa.</w:t>
            </w:r>
          </w:p>
        </w:tc>
      </w:tr>
      <w:tr>
        <w:tc>
          <w:tcPr/>
          <w:p>
            <w:pPr>
              <w:pStyle w:val="BodyText"/>
            </w:pPr>
            <w:r>
              <w:t xml:space="preserve">Exibir este campo nos resultados da pesquisa global</w:t>
            </w:r>
          </w:p>
        </w:tc>
        <w:tc>
          <w:tcPr/>
          <w:p>
            <w:pPr>
              <w:pStyle w:val="BodyText"/>
            </w:pPr>
            <w:r>
              <w:t xml:space="preserve">Disponibiliza este campo para exibição nos resultados da pesquisa global. Esta opção está disponível apenas se este campo estiver definido como pesquisável.</w:t>
            </w:r>
          </w:p>
        </w:tc>
      </w:tr>
      <w:tr>
        <w:tc>
          <w:tcPr/>
          <w:p>
            <w:pPr>
              <w:pStyle w:val="BodyText"/>
            </w:pPr>
            <w:r>
              <w:t xml:space="preserve">Exigir valores únicos</w:t>
            </w:r>
          </w:p>
        </w:tc>
        <w:tc>
          <w:tcPr/>
          <w:p>
            <w:pPr>
              <w:pStyle w:val="BodyText"/>
            </w:pPr>
            <w:r>
              <w:t xml:space="preserve">Impede que os usuários especifiquem um valor idêntico em um campo de registros diferentes.</w:t>
            </w:r>
          </w:p>
        </w:tc>
      </w:tr>
      <w:tr>
        <w:tc>
          <w:tcPr/>
          <w:p>
            <w:pPr>
              <w:pStyle w:val="BodyText"/>
            </w:pPr>
            <w:r>
              <w:t xml:space="preserve">Tornar este o campo principal</w:t>
            </w:r>
          </w:p>
        </w:tc>
        <w:tc>
          <w:tcPr/>
          <w:p>
            <w:pPr>
              <w:pStyle w:val="BodyText"/>
            </w:pPr>
            <w:r>
              <w:t xml:space="preserve">Designa o campo como o campo-chave no aplicativo.</w:t>
            </w:r>
          </w:p>
          <w:p>
            <w:pPr>
              <w:pStyle w:val="BodyText"/>
            </w:pPr>
            <w:r>
              <w:t xml:space="preserve">Os resultados da pesquisa exibem o campo-chave como um hiperlink, no qual os usuários podem clicar para visualizar os detalhes de um registro. Quando você selecionar esta opção, o campo obrigatório e as opções de resultados da pesquisa serão marcadas automaticamente.</w:t>
            </w:r>
          </w:p>
          <w:p>
            <w:pPr>
              <w:pStyle w:val="BodyText"/>
            </w:pPr>
            <w:r>
              <w:t xml:space="preserve">O campo-chave deve estar no layout de página do aplicativo. Após salvar o campo, você só poderá limpar essa caixa de seleção selecionando outro campo como campo-chave no aplicativo.</w:t>
            </w:r>
          </w:p>
        </w:tc>
      </w:tr>
      <w:tr>
        <w:tc>
          <w:tcPr/>
          <w:p>
            <w:pPr>
              <w:pStyle w:val="BodyText"/>
            </w:pPr>
            <w:r>
              <w:t xml:space="preserve">Ativar a atualização em lote a partir dos resultados da pesquisa</w:t>
            </w:r>
          </w:p>
        </w:tc>
        <w:tc>
          <w:tcPr/>
          <w:p>
            <w:pPr>
              <w:pStyle w:val="BodyText"/>
            </w:pPr>
            <w:r>
              <w:t xml:space="preserve">Permite que este campo esteja disponível para</w:t>
            </w:r>
            <w:r>
              <w:t xml:space="preserve"> </w:t>
            </w:r>
            <w:hyperlink r:id="rId26">
              <w:r>
                <w:rPr>
                  <w:rStyle w:val="Hyperlink"/>
                </w:rPr>
                <w:t xml:space="preserve">atualizações em lote</w:t>
              </w:r>
            </w:hyperlink>
            <w:r>
              <w:t xml:space="preserve"> </w:t>
            </w:r>
            <w:r>
              <w:t xml:space="preserve">nos resultados da pesquisa avançada.</w:t>
            </w:r>
          </w:p>
        </w:tc>
      </w:tr>
      <w:tr>
        <w:tc>
          <w:tcPr/>
          <w:p>
            <w:pPr>
              <w:pStyle w:val="BodyText"/>
            </w:pPr>
            <w:r>
              <w:t xml:space="preserve">Ativar a edição nos resultados da pesquisa</w:t>
            </w:r>
          </w:p>
        </w:tc>
        <w:tc>
          <w:tcPr/>
          <w:p>
            <w:pPr>
              <w:pStyle w:val="BodyText"/>
            </w:pPr>
            <w:r>
              <w:t xml:space="preserve">Permite que o campo seja</w:t>
            </w:r>
            <w:r>
              <w:t xml:space="preserve"> </w:t>
            </w:r>
            <w:hyperlink r:id="rId27">
              <w:r>
                <w:rPr>
                  <w:rStyle w:val="Hyperlink"/>
                </w:rPr>
                <w:t xml:space="preserve">editável</w:t>
              </w:r>
            </w:hyperlink>
            <w:r>
              <w:t xml:space="preserve"> </w:t>
            </w:r>
            <w:r>
              <w:t xml:space="preserve">nos resultados da pesquisa e em relatórios.</w:t>
            </w:r>
          </w:p>
        </w:tc>
      </w:tr>
      <w:tr>
        <w:tc>
          <w:tcPr/>
          <w:p>
            <w:pPr>
              <w:pStyle w:val="BodyText"/>
            </w:pPr>
            <w:r>
              <w:t xml:space="preserve">Ativar opções de tendência</w:t>
            </w:r>
          </w:p>
        </w:tc>
        <w:tc>
          <w:tcPr/>
          <w:p>
            <w:pPr>
              <w:pStyle w:val="BodyText"/>
            </w:pPr>
            <w:r>
              <w:t xml:space="preserve">Você pode habilitar ou desabilitar a análise de tendências para rastrear alterações de status do valor numérico do campo Lista de Valores. É necessário definir um período de duração ao ativar a análise de tendências no campo.</w:t>
            </w:r>
          </w:p>
          <w:p>
            <w:pPr>
              <w:pStyle w:val="BodyText"/>
            </w:pPr>
            <w:r>
              <w:t xml:space="preserve">Você pode desativar a análise de tendências em um campo Numérico ou Lista de valores que tenha a opção de análise de tendências habilitada para que os dados da análise de tendências não sejam mais retidos para o campo. Um trabalho de limpeza assíncrono executado uma vez ao dia remove os dados de análise de tendências expirados e os dados de análise de tendências de campos para os quais o usuário desativou a de análise de tendências. Quando a análise de tendências é desabilitada em um campo habilitado para a análise de tendências, o gráfico da análise de tendências no layout do aplicativo é substituído por um objeto de layout Espaço reservado com as mesmas propriedades de expansão.</w:t>
            </w:r>
          </w:p>
          <w:p>
            <w:pPr>
              <w:numPr>
                <w:ilvl w:val="0"/>
                <w:numId w:val="1005"/>
              </w:numPr>
            </w:pPr>
            <w:r>
              <w:t xml:space="preserve">Tipo de duração. Designa o período durante o qual você deseja manter os dados da análise de tendências. Os valores disponíveis são calculados em dias, como mostrado a seguir:</w:t>
            </w:r>
          </w:p>
          <w:p>
            <w:pPr>
              <w:pStyle w:val="Compact"/>
              <w:numPr>
                <w:ilvl w:val="1"/>
                <w:numId w:val="1006"/>
              </w:numPr>
            </w:pPr>
            <w:r>
              <w:t xml:space="preserve">Dias = 1 dia</w:t>
            </w:r>
          </w:p>
          <w:p>
            <w:pPr>
              <w:pStyle w:val="Compact"/>
              <w:numPr>
                <w:ilvl w:val="1"/>
                <w:numId w:val="1006"/>
              </w:numPr>
            </w:pPr>
            <w:r>
              <w:t xml:space="preserve">Meses = 30 dias</w:t>
            </w:r>
          </w:p>
          <w:p>
            <w:pPr>
              <w:pStyle w:val="Compact"/>
              <w:numPr>
                <w:ilvl w:val="1"/>
                <w:numId w:val="1006"/>
              </w:numPr>
            </w:pPr>
            <w:r>
              <w:t xml:space="preserve">Trimestres = 90 dias</w:t>
            </w:r>
          </w:p>
          <w:p>
            <w:pPr>
              <w:pStyle w:val="Compact"/>
              <w:numPr>
                <w:ilvl w:val="1"/>
                <w:numId w:val="1006"/>
              </w:numPr>
            </w:pPr>
            <w:r>
              <w:t xml:space="preserve">Anos = 365 dias</w:t>
            </w:r>
          </w:p>
          <w:p>
            <w:pPr>
              <w:numPr>
                <w:ilvl w:val="0"/>
                <w:numId w:val="1000"/>
              </w:numPr>
            </w:pPr>
            <w:r>
              <w:t xml:space="preserve">Por padrão, o valor desse campo é Sem seleção, mas você deve selecionar um Tipo de duração quando a opção Análise de tendências é marcada. Se você clicar em Aplicar sem alterar o valor, uma mensagem de advertência será exibida. Clique em OK para retornar à guia Opções.</w:t>
            </w:r>
          </w:p>
          <w:p>
            <w:pPr>
              <w:pStyle w:val="Compact"/>
              <w:numPr>
                <w:ilvl w:val="0"/>
                <w:numId w:val="1005"/>
              </w:numPr>
            </w:pPr>
            <w:r>
              <w:t xml:space="preserve">Tipo de duração. Especifica o número de dias, meses, trimestres ou anos durante o qual o</w:t>
            </w:r>
            <w:r>
              <w:t xml:space="preserve"> </w:t>
            </w:r>
            <w:r>
              <w:t xml:space="preserve">Archer</w:t>
            </w:r>
            <w:r>
              <w:t xml:space="preserve"> </w:t>
            </w:r>
            <w:r>
              <w:t xml:space="preserve">mantém os dados de análise de tendências.</w:t>
            </w:r>
          </w:p>
          <w:p>
            <w:pPr>
              <w:pStyle w:val="FirstParagraph"/>
            </w:pPr>
            <w:r>
              <w:t xml:space="preserve">Para obter mais informações, consulte</w:t>
            </w:r>
            <w:r>
              <w:t xml:space="preserve"> </w:t>
            </w:r>
            <w:hyperlink r:id="rId28">
              <w:r>
                <w:rPr>
                  <w:rStyle w:val="Hyperlink"/>
                </w:rPr>
                <w:t xml:space="preserve">Análise de tendências</w:t>
              </w:r>
            </w:hyperlink>
            <w:r>
              <w:t xml:space="preserve">.</w:t>
            </w:r>
          </w:p>
        </w:tc>
      </w:tr>
      <w:tr>
        <w:tc>
          <w:tcPr/>
          <w:p>
            <w:pPr>
              <w:pStyle w:val="BodyText"/>
            </w:pPr>
            <w:r>
              <w:t xml:space="preserve">Exibir a soma total dos campos nas páginas de resultados de pesquisa</w:t>
            </w:r>
          </w:p>
        </w:tc>
        <w:tc>
          <w:tcPr/>
          <w:p>
            <w:pPr>
              <w:pStyle w:val="BodyText"/>
            </w:pPr>
            <w:r>
              <w:t xml:space="preserve">Oferece um total de todos os valores informados no campo da página Resultados da pesquisa do aplicativo ou aplicativo em nível. A soma é mostrada somente em tipos de formato do relatório Hierarquia de coluna e Coluna - simples.</w:t>
            </w:r>
          </w:p>
          <w:p>
            <w:pPr>
              <w:pStyle w:val="BodyText"/>
            </w:pPr>
            <w:r>
              <w:t xml:space="preserve">Quando essa opção é selecionada, o valor total aparece na última linha da coluna Campo numérico. O valor da soma representa o total geral e é exibido em cada página. A soma não é mostrada quando o relatório tem a Edição em linha habilitada (a Edição em linha é habilitada por padrão para relatórios padrão e relatórios de detalhamento de estatísticas).</w:t>
            </w:r>
          </w:p>
        </w:tc>
      </w:tr>
      <w:tr>
        <w:tc>
          <w:tcPr/>
          <w:p>
            <w:pPr>
              <w:pStyle w:val="BodyText"/>
            </w:pPr>
            <w:r>
              <w:t xml:space="preserve">Filtragem com base em um intervalo de valores na pesquisa avançada</w:t>
            </w:r>
          </w:p>
        </w:tc>
        <w:tc>
          <w:tcPr/>
          <w:p>
            <w:pPr>
              <w:pStyle w:val="BodyText"/>
            </w:pPr>
            <w:r>
              <w:t xml:space="preserve">Permite que os usuários</w:t>
            </w:r>
            <w:r>
              <w:t xml:space="preserve"> </w:t>
            </w:r>
            <w:hyperlink w:anchor="Set_a_numeric_range">
              <w:r>
                <w:rPr>
                  <w:rStyle w:val="Hyperlink"/>
                </w:rPr>
                <w:t xml:space="preserve">filtrem os resultados da pesquisa por um intervalo ou intervalos de valores numéricos</w:t>
              </w:r>
            </w:hyperlink>
            <w:r>
              <w:t xml:space="preserve">.</w:t>
            </w:r>
          </w:p>
        </w:tc>
      </w:tr>
      <w:tr>
        <w:tc>
          <w:tcPr/>
          <w:p>
            <w:pPr>
              <w:pStyle w:val="BodyText"/>
            </w:pPr>
            <w:r>
              <w:t xml:space="preserve">Exibir opções de formatação avançada</w:t>
            </w:r>
          </w:p>
        </w:tc>
        <w:tc>
          <w:tcPr/>
          <w:p>
            <w:pPr>
              <w:pStyle w:val="BodyText"/>
            </w:pPr>
            <w:r>
              <w:t xml:space="preserve">Exibe a seção Opções de exibição de campo avançadas, na qual você pode adicionar texto descritivo e alterar a exibição padrão do campo.</w:t>
            </w:r>
          </w:p>
          <w:p>
            <w:pPr>
              <w:pStyle w:val="BodyText"/>
            </w:pPr>
            <w:r>
              <w:t xml:space="preserve">Você pode definir as seguintes opções:</w:t>
            </w:r>
          </w:p>
          <w:p>
            <w:pPr>
              <w:pStyle w:val="Compact"/>
              <w:numPr>
                <w:ilvl w:val="0"/>
                <w:numId w:val="1007"/>
              </w:numPr>
            </w:pPr>
            <w:r>
              <w:t xml:space="preserve">Texto de exibição: Digite seu texto de apoio neste campo. Por exemplo, você pode digitar uma pergunta específica relacionada aos valores que os usuários informam no campo, como "Qual a data da última auditoria de segurança?" Esse texto é exibido sempre, mesmo que você selecione ocultar o nome do campo.</w:t>
            </w:r>
          </w:p>
          <w:p>
            <w:pPr>
              <w:numPr>
                <w:ilvl w:val="0"/>
                <w:numId w:val="1007"/>
              </w:numPr>
            </w:pPr>
            <w:r>
              <w:t xml:space="preserve">Orientação: Selecione exibir ou ocultar o nome do campo e exibir os valores horizontal ou verticalmente.</w:t>
            </w:r>
          </w:p>
        </w:tc>
      </w:tr>
      <w:tr>
        <w:tc>
          <w:tcPr/>
          <w:p>
            <w:pPr>
              <w:pStyle w:val="FirstParagraph"/>
            </w:pPr>
            <w:r>
              <w:t xml:space="preserve">Formatar o valor numérico usando separadores</w:t>
            </w:r>
          </w:p>
        </w:tc>
        <w:tc>
          <w:tcPr/>
          <w:p>
            <w:pPr>
              <w:pStyle w:val="BodyText"/>
            </w:pPr>
            <w:r>
              <w:t xml:space="preserve">Formata o valor usando separadores de milhares. Por exemplo, se você digitar o valor "10000" no modo de edição do registro, o valor seria exibido como "10.000" no modo de visualização do registro.</w:t>
            </w:r>
          </w:p>
        </w:tc>
      </w:tr>
      <w:tr>
        <w:tc>
          <w:tcPr/>
          <w:p>
            <w:pPr>
              <w:pStyle w:val="BodyText"/>
            </w:pPr>
            <w:r>
              <w:t xml:space="preserve">Tornar este um campo calculado</w:t>
            </w:r>
          </w:p>
        </w:tc>
        <w:tc>
          <w:tcPr/>
          <w:p>
            <w:pPr>
              <w:pStyle w:val="BodyText"/>
            </w:pPr>
            <w:r>
              <w:t xml:space="preserve">Permite que os usuários especifiquem uma fórmula para calcular dinamicamente o valor do campo.</w:t>
            </w:r>
          </w:p>
          <w:p>
            <w:pPr>
              <w:pStyle w:val="BodyText"/>
            </w:pPr>
            <w:r>
              <w:t xml:space="preserve">Por exemplo, você pode usar a seguinte fórmula que preenche o campo Data com a data atual: TODAY(). O campo calculado é exibido como somente leitura para todos os usuários do aplicativo. Cada vez que o campo é recalculado, o valor é atualizado.</w:t>
            </w:r>
          </w:p>
        </w:tc>
      </w:tr>
      <w:tr>
        <w:tc>
          <w:tcPr/>
          <w:p>
            <w:pPr>
              <w:pStyle w:val="BodyText"/>
            </w:pPr>
            <w:r>
              <w:t xml:space="preserve">Validar este campo quando houver alterações de valores no registro</w:t>
            </w:r>
          </w:p>
        </w:tc>
        <w:tc>
          <w:tcPr/>
          <w:p>
            <w:pPr>
              <w:pStyle w:val="BodyText"/>
            </w:pPr>
            <w:r>
              <w:t xml:space="preserve">Faz com que um campo seja validado sempre que houver alterações de valores em um registro.</w:t>
            </w:r>
          </w:p>
          <w:p>
            <w:pPr>
              <w:pStyle w:val="BodyText"/>
            </w:pPr>
            <w:r>
              <w:t xml:space="preserve">Se essa opção não estiver selecionada, o campo será validado apenas quando o valor nele for alterado.</w:t>
            </w:r>
          </w:p>
        </w:tc>
      </w:tr>
      <w:tr>
        <w:tc>
          <w:tcPr/>
          <w:p>
            <w:pPr>
              <w:pStyle w:val="BodyText"/>
            </w:pPr>
            <w:r>
              <w:t xml:space="preserve">Criptografar dados em repouso no campo</w:t>
            </w:r>
          </w:p>
        </w:tc>
        <w:tc>
          <w:tcPr/>
          <w:p>
            <w:pPr>
              <w:pStyle w:val="BodyText"/>
            </w:pPr>
            <w:r>
              <w:t xml:space="preserve">Consulte</w:t>
            </w:r>
            <w:r>
              <w:t xml:space="preserve"> </w:t>
            </w:r>
            <w:hyperlink r:id="rId29">
              <w:r>
                <w:rPr>
                  <w:rStyle w:val="Hyperlink"/>
                </w:rPr>
                <w:t xml:space="preserve">Criptografando dados</w:t>
              </w:r>
            </w:hyperlink>
            <w:r>
              <w:t xml:space="preserve"> </w:t>
            </w:r>
            <w:r>
              <w:t xml:space="preserve">para obter instruções.</w:t>
            </w:r>
          </w:p>
        </w:tc>
      </w:tr>
    </w:tbl>
    <w:bookmarkEnd w:id="30"/>
    <w:bookmarkStart w:id="31" w:name="Tarefa3Definirasopçõesdeconfiguração"/>
    <w:p>
      <w:pPr>
        <w:pStyle w:val="Heading2"/>
      </w:pPr>
      <w:r>
        <w:t xml:space="preserve">Tarefa 3: Definir as opções de configuração</w:t>
      </w:r>
    </w:p>
    <w:p>
      <w:pPr>
        <w:pStyle w:val="FirstParagraph"/>
      </w:pPr>
      <w:r>
        <w:t xml:space="preserve">Na seção Configuração, defina as seguintes opções:</w:t>
      </w:r>
    </w:p>
    <w:p>
      <w:pPr>
        <w:pStyle w:val="TableCaption"/>
      </w:pPr>
      <w:r>
        <w:t xml:space="preserve">A tabela a seguir descreve as opções.</w:t>
      </w:r>
    </w:p>
    <w:tbl>
      <w:tblPr>
        <w:tblStyle w:val="Table"/>
        <w:tblW w:type="auto" w:w="0"/>
        <w:tblLook w:firstRow="1" w:lastRow="0" w:firstColumn="0" w:lastColumn="0" w:noHBand="0" w:noVBand="0" w:val="0020"/>
        <w:tblCaption w:val="A tabela a seguir descreve as opções."/>
      </w:tblPr>
      <w:tblGrid>
        <w:gridCol w:w="3960"/>
        <w:gridCol w:w="3960"/>
      </w:tblGrid>
      <w:tr>
        <w:trPr>
          <w:tblHeader w:val="on"/>
        </w:trPr>
        <w:tc>
          <w:tcPr/>
          <w:p>
            <w:pPr>
              <w:pStyle w:val="BodyText"/>
            </w:pPr>
            <w:r>
              <w:t xml:space="preserve">Opção</w:t>
            </w:r>
          </w:p>
        </w:tc>
        <w:tc>
          <w:tcPr/>
          <w:p>
            <w:pPr>
              <w:pStyle w:val="BodyText"/>
            </w:pPr>
            <w:r>
              <w:t xml:space="preserve">Descrição</w:t>
            </w:r>
          </w:p>
        </w:tc>
      </w:tr>
      <w:tr>
        <w:tc>
          <w:tcPr/>
          <w:p>
            <w:pPr>
              <w:pStyle w:val="BodyText"/>
            </w:pPr>
            <w:r>
              <w:t xml:space="preserve">Casas decimais</w:t>
            </w:r>
          </w:p>
        </w:tc>
        <w:tc>
          <w:tcPr/>
          <w:p>
            <w:pPr>
              <w:pStyle w:val="BodyText"/>
            </w:pPr>
            <w:r>
              <w:t xml:space="preserve">Especifica o número de casas decimais exigidas para os valores especificados no campo (máximo de seis). Se um usuário digitar um valor no campo numérico com menos casas decimais do que o número exigido, o valor será preenchido com zeros.</w:t>
            </w:r>
          </w:p>
          <w:p>
            <w:pPr>
              <w:pStyle w:val="BodyText"/>
            </w:pPr>
            <w:r>
              <w:t xml:space="preserve">Por exemplo, se você determinar 3 casas decimais e um usuário digitar "4,1" no campo, o valor será exibido como "4,100" quando o registro for salvo.</w:t>
            </w:r>
          </w:p>
          <w:p>
            <w:pPr>
              <w:pStyle w:val="BodyText"/>
            </w:pPr>
            <w:r>
              <w:t xml:space="preserve">Por outro lado, se você informar um valor no campo com mais casas decimais do que o número exigido, deverá limitar o número de casas decimais do valor para adequá-lo aos requisitos do campo antes de poder salvar o registro.</w:t>
            </w:r>
          </w:p>
        </w:tc>
      </w:tr>
      <w:tr>
        <w:tc>
          <w:tcPr/>
          <w:p>
            <w:pPr>
              <w:pStyle w:val="BodyText"/>
            </w:pPr>
            <w:r>
              <w:t xml:space="preserve">Exibição de negativo</w:t>
            </w:r>
          </w:p>
        </w:tc>
        <w:tc>
          <w:tcPr/>
          <w:p>
            <w:pPr>
              <w:pStyle w:val="BodyText"/>
            </w:pPr>
            <w:r>
              <w:t xml:space="preserve">Especifica como os números negativos serão exibidos. As opções incluem:</w:t>
            </w:r>
          </w:p>
          <w:p>
            <w:pPr>
              <w:pStyle w:val="Compact"/>
              <w:numPr>
                <w:ilvl w:val="0"/>
                <w:numId w:val="1008"/>
              </w:numPr>
            </w:pPr>
            <w:r>
              <w:t xml:space="preserve">(1234,56)</w:t>
            </w:r>
            <w:r>
              <w:t xml:space="preserve"> </w:t>
            </w:r>
            <w:r>
              <w:t xml:space="preserve">cor da fonte = vermelho; opção padrão</w:t>
            </w:r>
          </w:p>
          <w:p>
            <w:pPr>
              <w:pStyle w:val="Compact"/>
              <w:numPr>
                <w:ilvl w:val="0"/>
                <w:numId w:val="1008"/>
              </w:numPr>
            </w:pPr>
            <w:r>
              <w:t xml:space="preserve">-1234,56</w:t>
            </w:r>
            <w:r>
              <w:t xml:space="preserve"> </w:t>
            </w:r>
            <w:r>
              <w:t xml:space="preserve">cor da fonte = vermelho</w:t>
            </w:r>
          </w:p>
          <w:p>
            <w:pPr>
              <w:pStyle w:val="Compact"/>
              <w:numPr>
                <w:ilvl w:val="0"/>
                <w:numId w:val="1008"/>
              </w:numPr>
            </w:pPr>
            <w:r>
              <w:t xml:space="preserve">(1234,56) cor da fonte = preto</w:t>
            </w:r>
          </w:p>
          <w:p>
            <w:pPr>
              <w:pStyle w:val="Compact"/>
              <w:numPr>
                <w:ilvl w:val="0"/>
                <w:numId w:val="1008"/>
              </w:numPr>
            </w:pPr>
            <w:r>
              <w:t xml:space="preserve">-1234,56 cor da fonte = preto</w:t>
            </w:r>
          </w:p>
        </w:tc>
      </w:tr>
      <w:tr>
        <w:tc>
          <w:tcPr/>
          <w:p>
            <w:pPr>
              <w:pStyle w:val="FirstParagraph"/>
            </w:pPr>
            <w:r>
              <w:t xml:space="preserve">Incrementar em</w:t>
            </w:r>
          </w:p>
        </w:tc>
        <w:tc>
          <w:tcPr/>
          <w:p>
            <w:pPr>
              <w:pStyle w:val="BodyText"/>
            </w:pPr>
            <w:r>
              <w:t xml:space="preserve">Especifica o valor pelo qual o número é aumentado ou diminuído. As opções disponíveis são 0,01, 0,1, 1, 10, 100, 1000 ou Sem incremento.</w:t>
            </w:r>
          </w:p>
        </w:tc>
      </w:tr>
      <w:tr>
        <w:tc>
          <w:tcPr/>
          <w:p>
            <w:pPr>
              <w:pStyle w:val="BodyText"/>
            </w:pPr>
            <w:r>
              <w:t xml:space="preserve">Valor mínimo</w:t>
            </w:r>
          </w:p>
        </w:tc>
        <w:tc>
          <w:tcPr/>
          <w:p>
            <w:pPr>
              <w:pStyle w:val="BodyText"/>
            </w:pPr>
            <w:r>
              <w:t xml:space="preserve">Especifica os valores mínimos que os usuários devem digitar no campo numérico dentro do intervalo definido, por exemplo, de 1 a 100.</w:t>
            </w:r>
          </w:p>
        </w:tc>
      </w:tr>
      <w:tr>
        <w:tc>
          <w:tcPr/>
          <w:p>
            <w:pPr>
              <w:pStyle w:val="BodyText"/>
            </w:pPr>
            <w:r>
              <w:t xml:space="preserve">Valor máximo</w:t>
            </w:r>
          </w:p>
        </w:tc>
        <w:tc>
          <w:tcPr/>
          <w:p>
            <w:pPr>
              <w:pStyle w:val="BodyText"/>
            </w:pPr>
            <w:r>
              <w:t xml:space="preserve">Especifica os valores máximos que os usuários devem digitar no campo numérico dentro do intervalo definido, por exemplo, de 1 a 100.</w:t>
            </w:r>
          </w:p>
        </w:tc>
      </w:tr>
      <w:tr>
        <w:tc>
          <w:tcPr/>
          <w:p>
            <w:pPr>
              <w:pStyle w:val="BodyText"/>
            </w:pPr>
            <w:r>
              <w:t xml:space="preserve">Prefixo</w:t>
            </w:r>
          </w:p>
        </w:tc>
        <w:tc>
          <w:tcPr/>
          <w:p>
            <w:pPr>
              <w:pStyle w:val="BodyText"/>
            </w:pPr>
            <w:r>
              <w:t xml:space="preserve">Especifica o texto (até 10 caracteres) que é exibido na frente do valor numérico. Por exemplo, se você digitar "ABC" neste campo, o registro será exibido como "ABC123456".</w:t>
            </w:r>
          </w:p>
        </w:tc>
      </w:tr>
      <w:tr>
        <w:tc>
          <w:tcPr/>
          <w:p>
            <w:pPr>
              <w:pStyle w:val="BodyText"/>
            </w:pPr>
            <w:r>
              <w:t xml:space="preserve">Sufixo</w:t>
            </w:r>
          </w:p>
        </w:tc>
        <w:tc>
          <w:tcPr/>
          <w:p>
            <w:pPr>
              <w:pStyle w:val="BodyText"/>
            </w:pPr>
            <w:r>
              <w:t xml:space="preserve">Especifica o texto (até 10 caracteres) que é exibido depois do valor numérico. Por exemplo, é possível digitar "quilômetros" para rotular os valores do campo como medidas de distância. Para o ID de rastreamento, você pode digitar "XYZ" neste campo. O valor do ID de rastreamento de um registro é exibido como “123456XYZ”.</w:t>
            </w:r>
          </w:p>
        </w:tc>
      </w:tr>
    </w:tbl>
    <w:bookmarkEnd w:id="31"/>
    <w:bookmarkStart w:id="39" w:name="Tarefa4definirumintervalonumérico"/>
    <w:p>
      <w:pPr>
        <w:pStyle w:val="Heading2"/>
      </w:pPr>
      <w:bookmarkStart w:id="32" w:name="Set_a_numeric_range"/>
      <w:bookmarkEnd w:id="32"/>
      <w:r>
        <w:t xml:space="preserve"> </w:t>
      </w:r>
      <w:r>
        <w:t xml:space="preserve">Tarefa 4: definir um intervalo numérico</w:t>
      </w:r>
    </w:p>
    <w:p>
      <w:pPr>
        <w:pStyle w:val="FirstParagraph"/>
      </w:pPr>
      <w:r>
        <w:t xml:space="preserve">Na seção Intervalos numéricos, defina intervalos de valores pelos quais os usuários podem filtrar os resultados da pesquisa. Esta tarefa está disponível quando você seleciona Filtragem com base em um intervalo de valores na pesquisa avançada na seção Opções.</w:t>
      </w:r>
    </w:p>
    <w:p>
      <w:pPr>
        <w:pStyle w:val="BodyText"/>
      </w:pPr>
      <w:r>
        <w:t xml:space="preserve">Quando você seleciona esta opção, é necessário definir o intervalo numérico e seus respectivos valores depois que o campo numérico é configurado. Por exemplo, um intervalo denominado "Alto" deve ser associado ao intervalo de números "8 a 10". O nome do intervalo que você define para a pergunta é, então, exibido na seção Filtrar por valor da página Pesquisar resultados do aplicativo. Isso permite aos usuários pesquisarem em um intervalo de valores sua pergunta Numérico selecionando o nome de intervalo como parte de seus critérios de filtro.</w:t>
      </w:r>
    </w:p>
    <w:p>
      <w:pPr>
        <w:numPr>
          <w:ilvl w:val="0"/>
          <w:numId w:val="1009"/>
        </w:numPr>
      </w:pPr>
      <w:r>
        <w:t xml:space="preserve">Para adicionar um novo intervalo, clique em</w:t>
      </w:r>
      <w:r>
        <w:t xml:space="preserve"> </w:t>
      </w:r>
      <w:r>
        <w:drawing>
          <wp:inline>
            <wp:extent cx="153465" cy="153465"/>
            <wp:effectExtent b="0" l="0" r="0" t="0"/>
            <wp:docPr descr="Adicionar" title="Adicionar" id="34" name="Picture"/>
            <a:graphic>
              <a:graphicData uri="http://schemas.openxmlformats.org/drawingml/2006/picture">
                <pic:pic>
                  <pic:nvPicPr>
                    <pic:cNvPr descr="C:/Users/samue/WebScrapper/HelpArcher-to-pdf/images/a3d1202e88fbebf11fb14964f72cd4b8.png" id="35" name="Picture"/>
                    <pic:cNvPicPr>
                      <a:picLocks noChangeArrowheads="1" noChangeAspect="1"/>
                    </pic:cNvPicPr>
                  </pic:nvPicPr>
                  <pic:blipFill>
                    <a:blip r:embed="rId33"/>
                    <a:stretch>
                      <a:fillRect/>
                    </a:stretch>
                  </pic:blipFill>
                  <pic:spPr bwMode="auto">
                    <a:xfrm>
                      <a:off x="0" y="0"/>
                      <a:ext cx="153465" cy="153465"/>
                    </a:xfrm>
                    <a:prstGeom prst="rect">
                      <a:avLst/>
                    </a:prstGeom>
                    <a:noFill/>
                    <a:ln w="9525">
                      <a:noFill/>
                      <a:headEnd/>
                      <a:tailEnd/>
                    </a:ln>
                  </pic:spPr>
                </pic:pic>
              </a:graphicData>
            </a:graphic>
          </wp:inline>
        </w:drawing>
      </w:r>
      <w:r>
        <w:t xml:space="preserve">.</w:t>
      </w:r>
    </w:p>
    <w:p>
      <w:pPr>
        <w:numPr>
          <w:ilvl w:val="0"/>
          <w:numId w:val="1009"/>
        </w:numPr>
      </w:pPr>
      <w:r>
        <w:t xml:space="preserve">Insira um nome para o intervalo.</w:t>
      </w:r>
    </w:p>
    <w:p>
      <w:pPr>
        <w:numPr>
          <w:ilvl w:val="0"/>
          <w:numId w:val="1009"/>
        </w:numPr>
      </w:pPr>
      <w:r>
        <w:t xml:space="preserve">No campo Valor inicial, insira o valor mínimo para o intervalo.</w:t>
      </w:r>
    </w:p>
    <w:p>
      <w:pPr>
        <w:numPr>
          <w:ilvl w:val="0"/>
          <w:numId w:val="1009"/>
        </w:numPr>
      </w:pPr>
      <w:r>
        <w:t xml:space="preserve">No campo Valor final insira o valor máximo para o intervalo.</w:t>
      </w:r>
    </w:p>
    <w:p>
      <w:pPr>
        <w:numPr>
          <w:ilvl w:val="0"/>
          <w:numId w:val="1009"/>
        </w:numPr>
      </w:pPr>
      <w:r>
        <w:t xml:space="preserve">Clique em Salvar intervalo.</w:t>
      </w:r>
    </w:p>
    <w:p>
      <w:pPr>
        <w:numPr>
          <w:ilvl w:val="0"/>
          <w:numId w:val="1009"/>
        </w:numPr>
      </w:pPr>
      <w:r>
        <w:t xml:space="preserve">Repita as etapas de 1 a 5 para quantos intervalos desejar adicionar.</w:t>
      </w:r>
    </w:p>
    <w:p>
      <w:pPr>
        <w:numPr>
          <w:ilvl w:val="0"/>
          <w:numId w:val="1009"/>
        </w:numPr>
      </w:pPr>
      <w:r>
        <w:t xml:space="preserve">Clique em</w:t>
      </w:r>
      <w:r>
        <w:t xml:space="preserve"> </w:t>
      </w:r>
      <w:r>
        <w:drawing>
          <wp:inline>
            <wp:extent cx="110952" cy="149211"/>
            <wp:effectExtent b="0" l="0" r="0" t="0"/>
            <wp:docPr descr="Reordenar" title="" id="37" name="Picture"/>
            <a:graphic>
              <a:graphicData uri="http://schemas.openxmlformats.org/drawingml/2006/picture">
                <pic:pic>
                  <pic:nvPicPr>
                    <pic:cNvPr descr="C:/Users/samue/WebScrapper/HelpArcher-to-pdf/images/9f888c58baba491d5c62f78cf65a9ddd.png" id="38" name="Picture"/>
                    <pic:cNvPicPr>
                      <a:picLocks noChangeArrowheads="1" noChangeAspect="1"/>
                    </pic:cNvPicPr>
                  </pic:nvPicPr>
                  <pic:blipFill>
                    <a:blip r:embed="rId36"/>
                    <a:stretch>
                      <a:fillRect/>
                    </a:stretch>
                  </pic:blipFill>
                  <pic:spPr bwMode="auto">
                    <a:xfrm>
                      <a:off x="0" y="0"/>
                      <a:ext cx="110952" cy="149211"/>
                    </a:xfrm>
                    <a:prstGeom prst="rect">
                      <a:avLst/>
                    </a:prstGeom>
                    <a:noFill/>
                    <a:ln w="9525">
                      <a:noFill/>
                      <a:headEnd/>
                      <a:tailEnd/>
                    </a:ln>
                  </pic:spPr>
                </pic:pic>
              </a:graphicData>
            </a:graphic>
          </wp:inline>
        </w:drawing>
      </w:r>
      <w:r>
        <w:t xml:space="preserve"> </w:t>
      </w:r>
      <w:r>
        <w:t xml:space="preserve">para configurar a ordem de exibição do intervalo.</w:t>
      </w:r>
    </w:p>
    <w:bookmarkEnd w:id="39"/>
    <w:bookmarkStart w:id="46" w:name="Tarefa5Configurarotextodeajuda"/>
    <w:p>
      <w:pPr>
        <w:pStyle w:val="Heading2"/>
      </w:pPr>
      <w:r>
        <w:t xml:space="preserve">Tarefa 5: Configurar o texto de ajuda</w:t>
      </w:r>
    </w:p>
    <w:p>
      <w:pPr>
        <w:pStyle w:val="FirstParagraph"/>
      </w:pPr>
      <w:r>
        <w:t xml:space="preserve">A ajuda em nível de campo fornece diretrizes e instruções adicionais para garantir que os usuários digitem as informações apropriadas no campo. Esse texto de ajuda aparece para os usuários quando eles adicionarem, editarem ou visualizarem registros no aplicativo no qual se encontra o campo.</w:t>
      </w:r>
    </w:p>
    <w:p>
      <w:pPr>
        <w:pStyle w:val="BodyText"/>
      </w:pPr>
      <w:r>
        <w:t xml:space="preserve">Considere as seguintes diretrizes gerais quando for escrever a ajuda no nível de campo:</w:t>
      </w:r>
    </w:p>
    <w:p>
      <w:pPr>
        <w:pStyle w:val="Compact"/>
        <w:numPr>
          <w:ilvl w:val="0"/>
          <w:numId w:val="1010"/>
        </w:numPr>
      </w:pPr>
      <w:r>
        <w:t xml:space="preserve">Utilize instruções curtas e concisas que direcionem o usuário a realizar uma ação específica. Por exemplo, prefira "Digite seu nome" a "Este campo é utilizado para que você digite seu nome".</w:t>
      </w:r>
    </w:p>
    <w:p>
      <w:pPr>
        <w:pStyle w:val="Compact"/>
        <w:numPr>
          <w:ilvl w:val="0"/>
          <w:numId w:val="1010"/>
        </w:numPr>
      </w:pPr>
      <w:r>
        <w:t xml:space="preserve">Utilize sentenças completas sempre que possível.</w:t>
      </w:r>
    </w:p>
    <w:p>
      <w:pPr>
        <w:pStyle w:val="Compact"/>
        <w:numPr>
          <w:ilvl w:val="0"/>
          <w:numId w:val="1010"/>
        </w:numPr>
      </w:pPr>
      <w:r>
        <w:t xml:space="preserve">Evite jargões (a não ser que o termo seja muito importante e familiar a seus usuários).</w:t>
      </w:r>
    </w:p>
    <w:p>
      <w:pPr>
        <w:pStyle w:val="Compact"/>
        <w:numPr>
          <w:ilvl w:val="0"/>
          <w:numId w:val="1010"/>
        </w:numPr>
      </w:pPr>
      <w:r>
        <w:t xml:space="preserve">Escreva um texto de ajuda que corresponda ao nível das aptidões técnicas dos leitores.</w:t>
      </w:r>
    </w:p>
    <w:p>
      <w:pPr>
        <w:pStyle w:val="Compact"/>
        <w:numPr>
          <w:ilvl w:val="0"/>
          <w:numId w:val="1010"/>
        </w:numPr>
      </w:pPr>
      <w:r>
        <w:t xml:space="preserve">Utilize "você" e "seu" como se estivesse falando diretamente com o usuário.</w:t>
      </w:r>
    </w:p>
    <w:p>
      <w:pPr>
        <w:pStyle w:val="Compact"/>
        <w:numPr>
          <w:ilvl w:val="0"/>
          <w:numId w:val="1010"/>
        </w:numPr>
      </w:pPr>
      <w:r>
        <w:t xml:space="preserve">Considere posicionar o texto de ajuda no formulário de uma pergunta, por exemplo, "Qual é o seu nível de interesse?"</w:t>
      </w:r>
    </w:p>
    <w:p>
      <w:pPr>
        <w:pStyle w:val="FirstParagraph"/>
      </w:pPr>
      <w:r>
        <w:t xml:space="preserve">Na seção Ajuda de texto, faça o seguinte:</w:t>
      </w:r>
    </w:p>
    <w:p>
      <w:pPr>
        <w:pStyle w:val="Compact"/>
        <w:numPr>
          <w:ilvl w:val="0"/>
          <w:numId w:val="1011"/>
        </w:numPr>
      </w:pPr>
      <w:r>
        <w:t xml:space="preserve">Selecione uma opção de exibição para os modos de edição e visualização.</w:t>
      </w:r>
    </w:p>
    <w:p>
      <w:pPr>
        <w:pStyle w:val="Compact"/>
      </w:pPr>
      <w:r>
        <w:t xml:space="preserve">A tabela a seguir descreve as opções.</w:t>
      </w:r>
    </w:p>
    <w:tbl>
      <w:tblPr>
        <w:tblStyle w:val="Table"/>
        <w:tblW w:type="auto" w:w="0"/>
        <w:jc w:val="left"/>
        <w:tblInd w:w="720" w:type="dxa"/>
        <w:tblLook w:firstRow="1" w:lastRow="0" w:firstColumn="0" w:lastColumn="0" w:noHBand="0" w:noVBand="0" w:val="0020"/>
        <w:tblCaption w:val="A tabela a seguir descreve as opções."/>
      </w:tblPr>
      <w:tblGrid>
        <w:gridCol w:w="3960"/>
        <w:gridCol w:w="3960"/>
      </w:tblGrid>
      <w:tr>
        <w:trPr>
          <w:tblHeader w:val="on"/>
        </w:trPr>
        <w:tc>
          <w:tcPr/>
          <w:p>
            <w:pPr>
              <w:pStyle w:val="Compact"/>
            </w:pPr>
            <w:r>
              <w:t xml:space="preserve">Opção</w:t>
            </w:r>
          </w:p>
        </w:tc>
        <w:tc>
          <w:tcPr/>
          <w:p>
            <w:pPr>
              <w:pStyle w:val="BodyText"/>
            </w:pPr>
            <w:r>
              <w:t xml:space="preserve">Descrição</w:t>
            </w:r>
          </w:p>
        </w:tc>
      </w:tr>
      <w:tr>
        <w:tc>
          <w:tcPr/>
          <w:p>
            <w:pPr>
              <w:pStyle w:val="BodyText"/>
            </w:pPr>
            <w:r>
              <w:t xml:space="preserve">Nenhum</w:t>
            </w:r>
          </w:p>
        </w:tc>
        <w:tc>
          <w:tcPr/>
          <w:p>
            <w:pPr>
              <w:pStyle w:val="BodyText"/>
            </w:pPr>
            <w:r>
              <w:t xml:space="preserve">O texto de ajuda não é exibido.</w:t>
            </w:r>
          </w:p>
        </w:tc>
      </w:tr>
      <w:tr>
        <w:tc>
          <w:tcPr/>
          <w:p>
            <w:pPr>
              <w:pStyle w:val="BodyText"/>
            </w:pPr>
            <w:r>
              <w:t xml:space="preserve">Ícone de dica</w:t>
            </w:r>
          </w:p>
        </w:tc>
        <w:tc>
          <w:tcPr/>
          <w:p>
            <w:pPr>
              <w:pStyle w:val="BodyText"/>
            </w:pPr>
            <w:r>
              <w:t xml:space="preserve">O ícone da Ajuda é exibido ao lado do campo nos modos de edição e visualização. Clique nesse ícone para exibir a ajuda do campo. O aplicativo determina dinamicamente o tamanho da janela da Ajuda com base no número de caracteres no texto.</w:t>
            </w:r>
          </w:p>
          <w:p>
            <w:pPr>
              <w:pStyle w:val="BodyText"/>
            </w:pPr>
            <w:r>
              <w:drawing>
                <wp:inline>
                  <wp:extent cx="4394200" cy="889000"/>
                  <wp:effectExtent b="0" l="0" r="0" t="0"/>
                  <wp:docPr descr="Informações do campo ao passar o cursor sobre o ícone de ajuda" title="Informações do campo ao passar o cursor sobre o ícone de ajuda" id="41" name="Picture"/>
                  <a:graphic>
                    <a:graphicData uri="http://schemas.openxmlformats.org/drawingml/2006/picture">
                      <pic:pic>
                        <pic:nvPicPr>
                          <pic:cNvPr descr="C:/Users/samue/WebScrapper/HelpArcher-to-pdf/images/a01be792e62fe56e5cd2e9e15c8b8778.png" id="42" name="Picture"/>
                          <pic:cNvPicPr>
                            <a:picLocks noChangeArrowheads="1" noChangeAspect="1"/>
                          </pic:cNvPicPr>
                        </pic:nvPicPr>
                        <pic:blipFill>
                          <a:blip r:embed="rId40"/>
                          <a:stretch>
                            <a:fillRect/>
                          </a:stretch>
                        </pic:blipFill>
                        <pic:spPr bwMode="auto">
                          <a:xfrm>
                            <a:off x="0" y="0"/>
                            <a:ext cx="4394200" cy="889000"/>
                          </a:xfrm>
                          <a:prstGeom prst="rect">
                            <a:avLst/>
                          </a:prstGeom>
                          <a:noFill/>
                          <a:ln w="9525">
                            <a:noFill/>
                            <a:headEnd/>
                            <a:tailEnd/>
                          </a:ln>
                        </pic:spPr>
                      </pic:pic>
                    </a:graphicData>
                  </a:graphic>
                </wp:inline>
              </w:drawing>
            </w:r>
          </w:p>
        </w:tc>
      </w:tr>
      <w:tr>
        <w:tc>
          <w:tcPr/>
          <w:p>
            <w:pPr>
              <w:pStyle w:val="BodyText"/>
            </w:pPr>
            <w:r>
              <w:t xml:space="preserve">Abaixo</w:t>
            </w:r>
          </w:p>
        </w:tc>
        <w:tc>
          <w:tcPr/>
          <w:p>
            <w:pPr>
              <w:pStyle w:val="BodyText"/>
            </w:pPr>
            <w:r>
              <w:t xml:space="preserve">A Ajuda é exibida abaixo do campo nos modos de edição e visualização.</w:t>
            </w:r>
          </w:p>
          <w:p>
            <w:pPr>
              <w:pStyle w:val="BodyText"/>
            </w:pPr>
            <w:r>
              <w:drawing>
                <wp:inline>
                  <wp:extent cx="2110153" cy="274959"/>
                  <wp:effectExtent b="0" l="0" r="0" t="0"/>
                  <wp:docPr descr="Informações do campo abaixo dele" title="Informações do campo abaixo dele" id="44" name="Picture"/>
                  <a:graphic>
                    <a:graphicData uri="http://schemas.openxmlformats.org/drawingml/2006/picture">
                      <pic:pic>
                        <pic:nvPicPr>
                          <pic:cNvPr descr="C:/Users/samue/WebScrapper/HelpArcher-to-pdf/images/bc6233ab106ee66ea7b877bb6f2b0863.png" id="45" name="Picture"/>
                          <pic:cNvPicPr>
                            <a:picLocks noChangeArrowheads="1" noChangeAspect="1"/>
                          </pic:cNvPicPr>
                        </pic:nvPicPr>
                        <pic:blipFill>
                          <a:blip r:embed="rId43"/>
                          <a:stretch>
                            <a:fillRect/>
                          </a:stretch>
                        </pic:blipFill>
                        <pic:spPr bwMode="auto">
                          <a:xfrm>
                            <a:off x="0" y="0"/>
                            <a:ext cx="2110153" cy="274959"/>
                          </a:xfrm>
                          <a:prstGeom prst="rect">
                            <a:avLst/>
                          </a:prstGeom>
                          <a:noFill/>
                          <a:ln w="9525">
                            <a:noFill/>
                            <a:headEnd/>
                            <a:tailEnd/>
                          </a:ln>
                        </pic:spPr>
                      </pic:pic>
                    </a:graphicData>
                  </a:graphic>
                </wp:inline>
              </w:drawing>
            </w:r>
          </w:p>
        </w:tc>
      </w:tr>
    </w:tbl>
    <w:p>
      <w:pPr>
        <w:pStyle w:val="Compact"/>
        <w:numPr>
          <w:ilvl w:val="0"/>
          <w:numId w:val="1011"/>
        </w:numPr>
      </w:pPr>
      <w:r>
        <w:t xml:space="preserve">Se você estiver usando texto de ajuda, use o Editor de rich text para formatar o texto conforme necessário.</w:t>
      </w:r>
    </w:p>
    <w:bookmarkEnd w:id="46"/>
    <w:bookmarkStart w:id="50" w:name="Tarefa6Configuraroacessoaoarquivo"/>
    <w:p>
      <w:pPr>
        <w:pStyle w:val="Heading2"/>
      </w:pPr>
      <w:r>
        <w:t xml:space="preserve">Tarefa 6: Configurar o acesso ao arquivo</w:t>
      </w:r>
    </w:p>
    <w:p>
      <w:pPr>
        <w:pStyle w:val="FirstParagraph"/>
      </w:pPr>
      <w:r>
        <w:t xml:space="preserve">Os direitos de acesso determinam se todos os usuários ou apenas usuários ou grupos selecionados têm acesso ao campo.</w:t>
      </w:r>
    </w:p>
    <w:p>
      <w:pPr>
        <w:pStyle w:val="BodyText"/>
      </w:pPr>
      <w:r>
        <w:t xml:space="preserve">Na seção Acesso, faça o seguinte:</w:t>
      </w:r>
    </w:p>
    <w:p>
      <w:pPr>
        <w:numPr>
          <w:ilvl w:val="0"/>
          <w:numId w:val="1012"/>
        </w:numPr>
      </w:pPr>
      <w:r>
        <w:t xml:space="preserve">Selecione Público ou Privado.</w:t>
      </w:r>
    </w:p>
    <w:p>
      <w:pPr>
        <w:numPr>
          <w:ilvl w:val="0"/>
          <w:numId w:val="1000"/>
        </w:numPr>
      </w:pPr>
      <w:r>
        <w:rPr>
          <w:b/>
          <w:bCs/>
        </w:rPr>
        <w:t xml:space="preserve">Observação:</w:t>
      </w:r>
      <w:r>
        <w:t xml:space="preserve"> </w:t>
      </w:r>
      <w:r>
        <w:t xml:space="preserve">Campos-chave devem ser públicos.</w:t>
      </w:r>
    </w:p>
    <w:p>
      <w:pPr>
        <w:pStyle w:val="Compact"/>
        <w:numPr>
          <w:ilvl w:val="0"/>
          <w:numId w:val="1012"/>
        </w:numPr>
      </w:pPr>
      <w:r>
        <w:t xml:space="preserve">Se você selecionou Privado, maximize o painel e clique em</w:t>
      </w:r>
      <w:r>
        <w:t xml:space="preserve"> </w:t>
      </w:r>
      <w:r>
        <w:drawing>
          <wp:inline>
            <wp:extent cx="179043" cy="179043"/>
            <wp:effectExtent b="0" l="0" r="0" t="0"/>
            <wp:docPr descr="Adicionar" title="Adicionar" id="48" name="Picture"/>
            <a:graphic>
              <a:graphicData uri="http://schemas.openxmlformats.org/drawingml/2006/picture">
                <pic:pic>
                  <pic:nvPicPr>
                    <pic:cNvPr descr="C:/Users/samue/WebScrapper/HelpArcher-to-pdf/images/aa1290d9dcdb159760c7c2b4d316fd1b.png" id="49" name="Picture"/>
                    <pic:cNvPicPr>
                      <a:picLocks noChangeArrowheads="1" noChangeAspect="1"/>
                    </pic:cNvPicPr>
                  </pic:nvPicPr>
                  <pic:blipFill>
                    <a:blip r:embed="rId47"/>
                    <a:stretch>
                      <a:fillRect/>
                    </a:stretch>
                  </pic:blipFill>
                  <pic:spPr bwMode="auto">
                    <a:xfrm>
                      <a:off x="0" y="0"/>
                      <a:ext cx="179043" cy="179043"/>
                    </a:xfrm>
                    <a:prstGeom prst="rect">
                      <a:avLst/>
                    </a:prstGeom>
                    <a:noFill/>
                    <a:ln w="9525">
                      <a:noFill/>
                      <a:headEnd/>
                      <a:tailEnd/>
                    </a:ln>
                  </pic:spPr>
                </pic:pic>
              </a:graphicData>
            </a:graphic>
          </wp:inline>
        </w:drawing>
      </w:r>
      <w:r>
        <w:t xml:space="preserve"> </w:t>
      </w:r>
      <w:r>
        <w:t xml:space="preserve">para selecionar os usuários e grupos aos quais quer conceder acesso.</w:t>
      </w:r>
    </w:p>
    <w:bookmarkEnd w:id="50"/>
    <w:bookmarkEnd w:id="51"/>
    <w:bookmarkEnd w:id="52"/>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image" Id="rId40" Target="media/rId40.png" /><Relationship Type="http://schemas.openxmlformats.org/officeDocument/2006/relationships/image" Id="rId22" Target="media/rId22.png" /><Relationship Type="http://schemas.openxmlformats.org/officeDocument/2006/relationships/image" Id="rId33" Target="media/rId33.png" /><Relationship Type="http://schemas.openxmlformats.org/officeDocument/2006/relationships/image" Id="rId47" Target="media/rId47.png" /><Relationship Type="http://schemas.openxmlformats.org/officeDocument/2006/relationships/image" Id="rId43" Target="media/rId43.png" /><Relationship Type="http://schemas.openxmlformats.org/officeDocument/2006/relationships/hyperlink" Id="rId27" Target="../applications/app_inline_editing.htm" TargetMode="External" /><Relationship Type="http://schemas.openxmlformats.org/officeDocument/2006/relationships/hyperlink" Id="rId26" Target="../recordclassic/rec_classic_bulk_actions_performing.htm" TargetMode="External" /><Relationship Type="http://schemas.openxmlformats.org/officeDocument/2006/relationships/hyperlink" Id="rId28" Target="../searchclassic/srchrpt_classic_trending_basics.htm" TargetMode="External" /><Relationship Type="http://schemas.openxmlformats.org/officeDocument/2006/relationships/hyperlink" Id="rId29" Target="fld_data_encrypting.htm" TargetMode="External" /></Relationships>
</file>

<file path=word/_rels/footnotes.xml.rels><?xml version="1.0" encoding="UTF-8"?><Relationships xmlns="http://schemas.openxmlformats.org/package/2006/relationships"><Relationship Type="http://schemas.openxmlformats.org/officeDocument/2006/relationships/hyperlink" Id="rId27" Target="../applications/app_inline_editing.htm" TargetMode="External" /><Relationship Type="http://schemas.openxmlformats.org/officeDocument/2006/relationships/hyperlink" Id="rId26" Target="../recordclassic/rec_classic_bulk_actions_performing.htm" TargetMode="External" /><Relationship Type="http://schemas.openxmlformats.org/officeDocument/2006/relationships/hyperlink" Id="rId28" Target="../searchclassic/srchrpt_classic_trending_basics.htm" TargetMode="External" /><Relationship Type="http://schemas.openxmlformats.org/officeDocument/2006/relationships/hyperlink" Id="rId29" Target="fld_data_encrypting.ht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2025-03-06T16:19:34Z</dcterms:created>
  <dcterms:modified xsi:type="dcterms:W3CDTF">2025-03-06T16:19:34Z</dcterms:modified>
</cp:coreProperties>
</file>

<file path=docProps/custom.xml><?xml version="1.0" encoding="utf-8"?>
<Properties xmlns="http://schemas.openxmlformats.org/officeDocument/2006/custom-properties" xmlns:vt="http://schemas.openxmlformats.org/officeDocument/2006/docPropsVTypes"/>
</file>