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operador-concatenate-1"/>
    <w:p>
      <w:pPr>
        <w:pStyle w:val="Heading1"/>
      </w:pPr>
      <w:r>
        <w:t xml:space="preserve">Operador Concatenate</w:t>
      </w:r>
    </w:p>
    <w:p>
      <w:pPr>
        <w:pStyle w:val="TableCaption"/>
      </w:pPr>
      <w:r>
        <w:t xml:space="preserve">A tabela a seguir descreve o operador Concatenate.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operador Concatena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4"/>
            <w:bookmarkEnd w:id="20"/>
            <w:r>
              <w:t xml:space="preserve">&amp;</w:t>
            </w:r>
          </w:p>
        </w:tc>
        <w:tc>
          <w:tcPr/>
          <w:p>
            <w:pPr>
              <w:pStyle w:val="BodyText"/>
            </w:pPr>
            <w:r>
              <w:t xml:space="preserve">Concatenar ou unir 2 ou mais strings para produzir um texto único (por exemplo, "texto" e "string").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2025-02-19T20:09:54Z</dcterms:created>
  <dcterms:modified xsi:type="dcterms:W3CDTF">2025-02-19T20:09:54Z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