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8f5c8ea334ee8d7baba85f2a0f80dd222cbc667"/>
    <w:p>
      <w:pPr>
        <w:pStyle w:val="Heading1"/>
      </w:pPr>
      <w:r>
        <w:t xml:space="preserve">Gerenciamento de problemas do</w:t>
      </w:r>
      <w:r>
        <w:t xml:space="preserve"> </w:t>
      </w:r>
      <w:bookmarkStart w:id="20" w:name="aanchor2"/>
      <w:bookmarkEnd w:id="20"/>
      <w:r>
        <w:t xml:space="preserve">Archer</w:t>
      </w:r>
      <w:r>
        <w:t xml:space="preserve"> </w:t>
      </w:r>
      <w:r>
        <w:t xml:space="preserve">2024.03</w:t>
      </w:r>
    </w:p>
    <w:p>
      <w:pPr>
        <w:pStyle w:val="FirstParagraph"/>
      </w:pPr>
      <w:r>
        <w:t xml:space="preserve">O Gerenciamento de problemas do</w:t>
      </w:r>
      <w:r>
        <w:t xml:space="preserve"> </w:t>
      </w:r>
      <w:r>
        <w:t xml:space="preserve">Archer</w:t>
      </w:r>
      <w:r>
        <w:t xml:space="preserve"> </w:t>
      </w:r>
      <w:r>
        <w:t xml:space="preserve">define a base para o programa de gerenciamento integrado de riscos, permitindo que você gerencie problemas gerados por diversos grupos, como os de auditoria, riscos e conformidade. O caso de uso inclui a hierarquia de negócios para estabelecer estrutura e responsabilidade corporativas, bem como workflow e relatórios para gerenciar resultados, planos de remediação e exceções.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52aae3967d63d9613ec5d0f742a48a179e1451">
        <w:r>
          <w:rPr>
            <w:rStyle w:val="Hyperlink"/>
          </w:rPr>
          <w:t xml:space="preserve">Benefícios de usar o caso de uso de gerenciamento de problemas</w:t>
        </w:r>
      </w:hyperlink>
    </w:p>
    <w:p>
      <w:pPr>
        <w:pStyle w:val="Compact"/>
        <w:numPr>
          <w:ilvl w:val="0"/>
          <w:numId w:val="1001"/>
        </w:numPr>
      </w:pPr>
      <w:hyperlink w:anchor="Xa5cfcef5849528861ca0c7bb57f0ca3a67604e3">
        <w:r>
          <w:rPr>
            <w:rStyle w:val="Hyperlink"/>
          </w:rPr>
          <w:t xml:space="preserve">Como o Gerenciamento de problemas se enquadra em um programa de risco e conformidade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Casosdeusodepr%C3%A9requisitoeseguintes">
        <w:r>
          <w:rPr>
            <w:rStyle w:val="Hyperlink"/>
          </w:rPr>
          <w:t xml:space="preserve">Casos de uso de pré-requisito e seguintes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X92cc1ef5770dfefb6f0ed05c56e4ee4e379414b"/>
    <w:p>
      <w:pPr>
        <w:pStyle w:val="Heading2"/>
      </w:pPr>
      <w:r>
        <w:t xml:space="preserve">Benefícios de usar o caso de uso de gerenciamento de problemas</w:t>
      </w:r>
    </w:p>
    <w:p>
      <w:pPr>
        <w:pStyle w:val="FirstParagraph"/>
      </w:pPr>
      <w:r>
        <w:t xml:space="preserve">Com o</w:t>
      </w:r>
      <w:r>
        <w:t xml:space="preserve"> </w:t>
      </w:r>
      <w:r>
        <w:t xml:space="preserve">Archer</w:t>
      </w:r>
      <w:r>
        <w:t xml:space="preserve"> </w:t>
      </w:r>
      <w:r>
        <w:t xml:space="preserve">Issues Management, é possível criar uma visão coordenada e consolidada dos problemas conhecidos. Um processo organizado e gerenciado de escalonamento de problemas dá visibilidade da propriedade por meio de suas cadeias de comando estabelecidas. Um workflow para aprovação adequada de problemas, planos de remediação e exceções garante que os problemas identificados sejam bem gerenciados. Como resultado, sua organização encontrará soluções para problemas emergentes mais rapidamente, criando um ambiente mais seguro e resiliente, ao mesmo tempo reduzindo os custos.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5" w:name="Xa5cfcef5849528861ca0c7bb57f0ca3a67604e3"/>
    <w:p>
      <w:pPr>
        <w:pStyle w:val="Heading2"/>
      </w:pPr>
      <w:r>
        <w:t xml:space="preserve">Como o Gerenciamento de problemas se enquadra em um programa de risco e conformidade</w:t>
      </w:r>
    </w:p>
    <w:p>
      <w:pPr>
        <w:pStyle w:val="FirstParagraph"/>
      </w:pPr>
      <w:r>
        <w:t xml:space="preserve">O Gerenciamento de problemas é um caso de uso na área de solução Gerenciamento de auditorias. As seções a seguir descrevem os casos de uso exigidos pelo Gerenciamento de problemas como pré-requisito, para os quais você pode fazer upgrade quando seu programa de auditoria amadurecer, e que podem ser integrados, em outras áreas de soluções, para a obtenção de outros contextos e funcionalidades de negócios.</w:t>
      </w:r>
    </w:p>
    <w:bookmarkStart w:id="24" w:name="Casosdeusodeprérequisitoeseguintes"/>
    <w:p>
      <w:pPr>
        <w:pStyle w:val="Heading3"/>
      </w:pPr>
      <w:r>
        <w:t xml:space="preserve">Casos de uso de pré-requisito e seguintes</w:t>
      </w:r>
    </w:p>
    <w:p>
      <w:pPr>
        <w:pStyle w:val="TableCaption"/>
      </w:pPr>
      <w:r>
        <w:t xml:space="preserve">A tabela a seguir mostra como este caso de uso se enquadra na área de solução geral Gerenciamento de auditorias.</w:t>
      </w:r>
    </w:p>
    <w:p>
      <w:pPr>
        <w:pStyle w:val="TableCaption"/>
      </w:pPr>
      <w:r>
        <w:t xml:space="preserve">Para obter informações sobre estes casos de uso do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r:id="rId23">
        <w:r>
          <w:rPr>
            <w:rStyle w:val="Hyperlink"/>
          </w:rPr>
          <w:t xml:space="preserve">Ajuda das soluções Archer.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 tabela a seguir mostra como este caso de uso se enquadra na área de solução geral Gerenciamento de auditorias.Para obter informações sobre estes casos de uso do Archer, consulte a Ajuda das soluções Archer."/>
      </w:tblPr>
      <w:tblGrid>
        <w:gridCol w:w="2613"/>
        <w:gridCol w:w="2613"/>
        <w:gridCol w:w="2692"/>
      </w:tblGrid>
      <w:tr>
        <w:trPr>
          <w:tblHeader w:val="on"/>
        </w:trPr>
        <w:tc>
          <w:tcPr/>
          <w:p>
            <w:pPr>
              <w:jc w:val="center"/>
            </w:pPr>
            <w:r>
              <w:t xml:space="preserve">Pré-requisitos</w:t>
            </w:r>
          </w:p>
        </w:tc>
        <w:tc>
          <w:tcPr/>
          <w:p>
            <w:pPr>
              <w:jc w:val="center"/>
            </w:pPr>
            <w:r>
              <w:t xml:space="preserve">O que você tem</w:t>
            </w:r>
          </w:p>
        </w:tc>
        <w:tc>
          <w:tcPr/>
          <w:p>
            <w:pPr>
              <w:jc w:val="center"/>
            </w:pPr>
            <w:r>
              <w:t xml:space="preserve">O que vem 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N/D</w:t>
            </w:r>
          </w:p>
        </w:tc>
        <w:tc>
          <w:tcPr/>
          <w:p>
            <w:pPr>
              <w:jc w:val="center"/>
            </w:pPr>
            <w:r>
              <w:t xml:space="preserve">Gerenciamento de problemas</w:t>
            </w:r>
          </w:p>
        </w:tc>
        <w:tc>
          <w:tcPr/>
          <w:p>
            <w:pPr>
              <w:jc w:val="center"/>
            </w:pPr>
            <w:r>
              <w:t xml:space="preserve">Explorar os casos de uso relacionados em outras áreas de solução.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3"/>
              </w:numPr>
              <w:jc w:val="center"/>
            </w:pPr>
            <w:r>
              <w:t xml:space="preserve">Estabelecer sua hierarquia de negócios</w:t>
            </w:r>
          </w:p>
          <w:p>
            <w:pPr>
              <w:numPr>
                <w:ilvl w:val="0"/>
                <w:numId w:val="1003"/>
              </w:numPr>
              <w:jc w:val="center"/>
            </w:pPr>
            <w:r>
              <w:t xml:space="preserve">Consolidar e coordenar resultados e planos de remediação a partir de avaliações de risco, conformidade e auditorias, entre outras</w:t>
            </w:r>
          </w:p>
          <w:p>
            <w:pPr>
              <w:numPr>
                <w:ilvl w:val="0"/>
                <w:numId w:val="1003"/>
              </w:numPr>
              <w:jc w:val="center"/>
            </w:pPr>
            <w:r>
              <w:t xml:space="preserve">Gerenciar exceções com aceitação adequada da aprovação de riscos</w:t>
            </w:r>
          </w:p>
        </w:tc>
        <w:tc>
          <w:tcPr/>
          <w:p>
            <w:pPr>
              <w:numPr>
                <w:ilvl w:val="0"/>
                <w:numId w:val="1004"/>
              </w:numPr>
              <w:jc w:val="center"/>
            </w:pPr>
            <w:r>
              <w:t xml:space="preserve">Projetos e documentação de auditoria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Planejamento de auditoria e qualidade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Business Continuity &amp; IT Disaster Recovery Planning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Gerenciamento de crises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Gerenciamento de incidentes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Avaliação de riscos de baixo para cima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Eventos de perda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Gerenciamento do risco operacional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Avaliação de riscos de cima para baixo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Cyber Incident &amp; Breach Response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Sistema de gerenciamento da segurança das informações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Garantia de controles de TI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Gerenciamento regulamentar de TI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Gerenciamento de riscos de TI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Gerenciamento de PCI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Programa de vulnerabilidades de segurança de TI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Monitoramento de controles financeiros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Gerenciamento do programa de garantia de controles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Governança dos dados</w:t>
            </w:r>
          </w:p>
          <w:p>
            <w:pPr>
              <w:numPr>
                <w:ilvl w:val="0"/>
                <w:numId w:val="1004"/>
              </w:numPr>
              <w:jc w:val="center"/>
            </w:pPr>
            <w:r>
              <w:t xml:space="preserve">Gerenciamento de obrigações corporativas</w:t>
            </w:r>
          </w:p>
        </w:tc>
      </w:tr>
    </w:tbl>
    <w:bookmarkEnd w:id="24"/>
    <w:bookmarkEnd w:id="25"/>
    <w:bookmarkStart w:id="29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5"/>
        </w:numPr>
      </w:pPr>
      <w:hyperlink r:id="rId26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5"/>
        </w:numPr>
      </w:pPr>
      <w:hyperlink r:id="rId27">
        <w:r>
          <w:rPr>
            <w:rStyle w:val="Hyperlink"/>
          </w:rPr>
          <w:t xml:space="preserve">Instalar e configurar o caso de uso</w:t>
        </w:r>
      </w:hyperlink>
    </w:p>
    <w:p>
      <w:pPr>
        <w:pStyle w:val="Compact"/>
        <w:numPr>
          <w:ilvl w:val="0"/>
          <w:numId w:val="1005"/>
        </w:numPr>
      </w:pPr>
      <w:hyperlink r:id="rId28">
        <w:r>
          <w:rPr>
            <w:rStyle w:val="Hyperlink"/>
          </w:rPr>
          <w:t xml:space="preserve">O que há de novo nesta versão</w:t>
        </w:r>
      </w:hyperlink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RN_Audit/am_ism_2024_03_RN.htm" TargetMode="External" /><Relationship Type="http://schemas.openxmlformats.org/officeDocument/2006/relationships/hyperlink" Id="rId26" Target="am_ism_design.htm" TargetMode="External" /><Relationship Type="http://schemas.openxmlformats.org/officeDocument/2006/relationships/hyperlink" Id="rId27" Target="am_ism_install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RN_Audit/am_ism_2024_03_RN.htm" TargetMode="External" /><Relationship Type="http://schemas.openxmlformats.org/officeDocument/2006/relationships/hyperlink" Id="rId26" Target="am_ism_design.htm" TargetMode="External" /><Relationship Type="http://schemas.openxmlformats.org/officeDocument/2006/relationships/hyperlink" Id="rId27" Target="am_ism_install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2025-03-06T14:35:08Z</dcterms:created>
  <dcterms:modified xsi:type="dcterms:W3CDTF">2025-03-06T14:35:08Z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