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7e81ec873ad0e67f37a7696edc3fc61b9b79c59"/>
    <w:p>
      <w:pPr>
        <w:pStyle w:val="Heading1"/>
      </w:pPr>
      <w:r>
        <w:t xml:space="preserve">Notas da versão do Gerenciamento de problemas 2024.03</w:t>
      </w:r>
    </w:p>
    <w:p>
      <w:pPr>
        <w:numPr>
          <w:ilvl w:val="0"/>
          <w:numId w:val="1001"/>
        </w:numPr>
      </w:pPr>
      <w:r>
        <w:t xml:space="preserve">Atualizações foram feitas para oferecer suporte ao caso de uso do Archer Insight.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2025-03-06T14:35:10Z</dcterms:created>
  <dcterms:modified xsi:type="dcterms:W3CDTF">2025-03-06T14:35:10Z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