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renciando-resultados-1"/>
    <w:p>
      <w:pPr>
        <w:pStyle w:val="Heading1"/>
      </w:pPr>
      <w:bookmarkStart w:id="20" w:name="aanchor4"/>
      <w:bookmarkEnd w:id="20"/>
      <w:r>
        <w:t xml:space="preserve"> </w:t>
      </w:r>
      <w:r>
        <w:t xml:space="preserve">Gerenciando resultados</w:t>
      </w:r>
    </w:p>
    <w:p>
      <w:pPr>
        <w:pStyle w:val="FirstParagraph"/>
      </w:pPr>
      <w:r>
        <w:t xml:space="preserve">Os resultados permitem que os usuários documentem problemas, deficiências ou falhas na organização. Esses resultados podem ser criados manualmente ou gerados automaticamente por meio dos resultados da avaliação e dos testes de controle. Os usuários podem rastrear tarefas associadas a um resultado e corrigi-lo por meio de planos de remediação ou solicitações de exceção. Por exemplo, o risco residual e o status de conformidade são calculados com base na resolução dos resultados.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resultados do Gerenciamento de problemas</w:t>
        </w:r>
      </w:hyperlink>
    </w:p>
    <w:p>
      <w:pPr>
        <w:pStyle w:val="BodyText"/>
      </w:pPr>
      <w:r>
        <w:drawing>
          <wp:inline>
            <wp:extent cx="5334000" cy="2594496"/>
            <wp:effectExtent b="0" l="0" r="0" t="0"/>
            <wp:docPr descr="Gerenciamento de problemas – Diagrama de fluxo do processo Gerenciando seus resultados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03243d9f7c5d4615b2633cd40e962d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managing_findings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managing_findings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2025-03-06T14:35:25Z</dcterms:created>
  <dcterms:modified xsi:type="dcterms:W3CDTF">2025-03-06T14:35:25Z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