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gerenciando-solicitações-de-exceção-1"/>
    <w:p>
      <w:pPr>
        <w:pStyle w:val="Heading1"/>
      </w:pPr>
      <w:bookmarkStart w:id="20" w:name="aanchor7"/>
      <w:bookmarkEnd w:id="20"/>
      <w:r>
        <w:t xml:space="preserve"> </w:t>
      </w:r>
      <w:r>
        <w:t xml:space="preserve">Gerenciando solicitações de exceção</w:t>
      </w:r>
    </w:p>
    <w:p>
      <w:pPr>
        <w:pStyle w:val="FirstParagraph"/>
      </w:pPr>
      <w:r>
        <w:t xml:space="preserve">Uma solicitação de exceção foi projetada para que a empresa aceite temporariamente o risco causado por um resultado sem remediação imediata. Depois que a solicitação de exceção inicial expirar, você poderá solicitar uma extensão, permitindo tempo adicional para a empresa investigar o resultado.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de gerenciamento de problemas – Solicitação de exceção</w:t>
        </w:r>
      </w:hyperlink>
    </w:p>
    <w:p>
      <w:pPr>
        <w:pStyle w:val="BodyText"/>
      </w:pPr>
      <w:r>
        <w:drawing>
          <wp:inline>
            <wp:extent cx="5334000" cy="3190058"/>
            <wp:effectExtent b="0" l="0" r="0" t="0"/>
            <wp:docPr descr="Gerenciamento de problemas – Diagrama de fluxo do processo Gerenciando solicitações de exceção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6b6b06af63caa339c3c40739e2f34e9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Audit/am_ism_exception_request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Audit/am_ism_exception_request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2025-03-06T14:35:34Z</dcterms:created>
  <dcterms:modified xsi:type="dcterms:W3CDTF">2025-03-06T14:35:34Z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