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2" w:name="mc-main-content"/>
    <w:bookmarkStart w:id="51" w:name="archer-insight-release-notes-1"/>
    <w:p>
      <w:pPr>
        <w:pStyle w:val="Heading1"/>
      </w:pPr>
      <w:r>
        <w:t xml:space="preserve">Archer Insight</w:t>
      </w:r>
      <w:r>
        <w:t xml:space="preserve"> </w:t>
      </w:r>
      <w:r>
        <w:t xml:space="preserve">Release Notes</w:t>
      </w:r>
    </w:p>
    <w:p>
      <w:pPr>
        <w:pStyle w:val="FirstParagraph"/>
      </w:pPr>
      <w:r>
        <w:t xml:space="preserve">On this page</w:t>
      </w:r>
    </w:p>
    <w:p>
      <w:pPr>
        <w:pStyle w:val="Compact"/>
        <w:numPr>
          <w:ilvl w:val="0"/>
          <w:numId w:val="1001"/>
        </w:numPr>
      </w:pPr>
      <w:hyperlink w:anchor="ArcherInsightinterface">
        <w:r>
          <w:rPr>
            <w:rStyle w:val="Hyperlink"/>
          </w:rPr>
          <w:t xml:space="preserve">Archer Insight interface</w:t>
        </w:r>
      </w:hyperlink>
    </w:p>
    <w:p>
      <w:pPr>
        <w:pStyle w:val="Compact"/>
        <w:numPr>
          <w:ilvl w:val="0"/>
          <w:numId w:val="1001"/>
        </w:numPr>
      </w:pPr>
    </w:p>
    <w:p>
      <w:pPr>
        <w:pStyle w:val="Compact"/>
        <w:numPr>
          <w:ilvl w:val="1"/>
          <w:numId w:val="1002"/>
        </w:numPr>
      </w:pPr>
      <w:hyperlink w:anchor="X61f22b2c1593d0bb87e0b606f990ba4974706de">
        <w:r>
          <w:rPr>
            <w:rStyle w:val="Hyperlink"/>
          </w:rPr>
          <w:t xml:space="preserve">4.1</w:t>
        </w:r>
      </w:hyperlink>
    </w:p>
    <w:p>
      <w:pPr>
        <w:pStyle w:val="Compact"/>
        <w:numPr>
          <w:ilvl w:val="1"/>
          <w:numId w:val="1002"/>
        </w:numPr>
      </w:pPr>
      <w:hyperlink w:anchor="Xf3e133428b9e25c55bc59fe534248e6a0c0f17b">
        <w:r>
          <w:rPr>
            <w:rStyle w:val="Hyperlink"/>
          </w:rPr>
          <w:t xml:space="preserve">4.0</w:t>
        </w:r>
      </w:hyperlink>
    </w:p>
    <w:p>
      <w:pPr>
        <w:pStyle w:val="Compact"/>
        <w:numPr>
          <w:ilvl w:val="1"/>
          <w:numId w:val="1002"/>
        </w:numPr>
      </w:pPr>
      <w:hyperlink w:anchor="X32667547e7cd3e0466547863e1207a8c0c0c549">
        <w:r>
          <w:rPr>
            <w:rStyle w:val="Hyperlink"/>
          </w:rPr>
          <w:t xml:space="preserve">3.1</w:t>
        </w:r>
      </w:hyperlink>
    </w:p>
    <w:p>
      <w:pPr>
        <w:pStyle w:val="Compact"/>
        <w:numPr>
          <w:ilvl w:val="1"/>
          <w:numId w:val="1002"/>
        </w:numPr>
      </w:pPr>
      <w:hyperlink w:anchor="X2d200f8670dbdb3e253a90eee5098477c95c23d">
        <w:r>
          <w:rPr>
            <w:rStyle w:val="Hyperlink"/>
          </w:rPr>
          <w:t xml:space="preserve">3.0</w:t>
        </w:r>
      </w:hyperlink>
    </w:p>
    <w:p>
      <w:pPr>
        <w:pStyle w:val="Compact"/>
        <w:numPr>
          <w:ilvl w:val="0"/>
          <w:numId w:val="1001"/>
        </w:numPr>
      </w:pPr>
      <w:hyperlink w:anchor="ArcherInsightusecase">
        <w:r>
          <w:rPr>
            <w:rStyle w:val="Hyperlink"/>
          </w:rPr>
          <w:t xml:space="preserve">Archer Insight use case</w:t>
        </w:r>
      </w:hyperlink>
    </w:p>
    <w:p>
      <w:pPr>
        <w:pStyle w:val="Compact"/>
        <w:numPr>
          <w:ilvl w:val="0"/>
          <w:numId w:val="1001"/>
        </w:numPr>
      </w:pPr>
    </w:p>
    <w:p>
      <w:pPr>
        <w:pStyle w:val="Compact"/>
        <w:numPr>
          <w:ilvl w:val="1"/>
          <w:numId w:val="1003"/>
        </w:numPr>
      </w:pPr>
      <w:hyperlink w:anchor="Xd2f9ea76bf92863c322e680002549656b6715e5">
        <w:r>
          <w:rPr>
            <w:rStyle w:val="Hyperlink"/>
          </w:rPr>
          <w:t xml:space="preserve">2024.06</w:t>
        </w:r>
      </w:hyperlink>
    </w:p>
    <w:p>
      <w:pPr>
        <w:pStyle w:val="Compact"/>
        <w:numPr>
          <w:ilvl w:val="1"/>
          <w:numId w:val="1003"/>
        </w:numPr>
      </w:pPr>
      <w:hyperlink w:anchor="X4507ff37536f21d347830c6d7e9c6912df7acd6">
        <w:r>
          <w:rPr>
            <w:rStyle w:val="Hyperlink"/>
          </w:rPr>
          <w:t xml:space="preserve">2024.03</w:t>
        </w:r>
      </w:hyperlink>
    </w:p>
    <w:p>
      <w:pPr>
        <w:pStyle w:val="Compact"/>
        <w:numPr>
          <w:ilvl w:val="1"/>
          <w:numId w:val="1003"/>
        </w:numPr>
      </w:pPr>
      <w:hyperlink w:anchor="X3e17161e180ce442992839a70bade8b5edcb0bd">
        <w:r>
          <w:rPr>
            <w:rStyle w:val="Hyperlink"/>
          </w:rPr>
          <w:t xml:space="preserve">6.14.0.1.2</w:t>
        </w:r>
      </w:hyperlink>
    </w:p>
    <w:p>
      <w:pPr>
        <w:pStyle w:val="Compact"/>
        <w:numPr>
          <w:ilvl w:val="1"/>
          <w:numId w:val="1003"/>
        </w:numPr>
      </w:pPr>
      <w:hyperlink w:anchor="Xed22fdf6d9721627cde29529f63e0b3a1de1265">
        <w:r>
          <w:rPr>
            <w:rStyle w:val="Hyperlink"/>
          </w:rPr>
          <w:t xml:space="preserve">6.13.0.1</w:t>
        </w:r>
      </w:hyperlink>
    </w:p>
    <w:p>
      <w:pPr>
        <w:pStyle w:val="Compact"/>
        <w:numPr>
          <w:ilvl w:val="1"/>
          <w:numId w:val="1003"/>
        </w:numPr>
      </w:pPr>
    </w:p>
    <w:p>
      <w:pPr>
        <w:pStyle w:val="Compact"/>
        <w:numPr>
          <w:ilvl w:val="2"/>
          <w:numId w:val="1004"/>
        </w:numPr>
      </w:pPr>
      <w:hyperlink w:anchor="Applicationsinotherusecases">
        <w:r>
          <w:rPr>
            <w:rStyle w:val="Hyperlink"/>
          </w:rPr>
          <w:t xml:space="preserve">Applications in other use cases</w:t>
        </w:r>
      </w:hyperlink>
    </w:p>
    <w:p>
      <w:pPr>
        <w:pStyle w:val="Compact"/>
        <w:numPr>
          <w:ilvl w:val="2"/>
          <w:numId w:val="1004"/>
        </w:numPr>
      </w:pPr>
      <w:hyperlink w:anchor="Creatingrisks">
        <w:r>
          <w:rPr>
            <w:rStyle w:val="Hyperlink"/>
          </w:rPr>
          <w:t xml:space="preserve">Creating risks</w:t>
        </w:r>
      </w:hyperlink>
    </w:p>
    <w:p>
      <w:pPr>
        <w:pStyle w:val="Compact"/>
        <w:numPr>
          <w:ilvl w:val="2"/>
          <w:numId w:val="1004"/>
        </w:numPr>
      </w:pPr>
      <w:hyperlink w:anchor="Controlprocedurelifecyclestatus">
        <w:r>
          <w:rPr>
            <w:rStyle w:val="Hyperlink"/>
          </w:rPr>
          <w:t xml:space="preserve">Control procedure lifecycle status</w:t>
        </w:r>
      </w:hyperlink>
    </w:p>
    <w:bookmarkStart w:id="31" w:name="ArcherInsightinterface"/>
    <w:p>
      <w:pPr>
        <w:pStyle w:val="Heading2"/>
      </w:pPr>
      <w:r>
        <w:t xml:space="preserve">Archer Insight</w:t>
      </w:r>
      <w:r>
        <w:t xml:space="preserve"> </w:t>
      </w:r>
      <w:r>
        <w:t xml:space="preserve">interface</w:t>
      </w:r>
    </w:p>
    <w:bookmarkStart w:id="20" w:name="X61f22b2c1593d0bb87e0b606f990ba4974706de"/>
    <w:p>
      <w:pPr>
        <w:pStyle w:val="Heading3"/>
      </w:pPr>
      <w:r>
        <w:t xml:space="preserve">4.1</w:t>
      </w:r>
    </w:p>
    <w:p>
      <w:pPr>
        <w:pStyle w:val="FirstParagraph"/>
      </w:pPr>
      <w:r>
        <w:t xml:space="preserve">This release requires the</w:t>
      </w:r>
      <w:r>
        <w:t xml:space="preserve"> </w:t>
      </w:r>
      <w:hyperlink w:anchor="X834af8b2c56d88573aae85d3869761b874ce43e">
        <w:r>
          <w:rPr>
            <w:rStyle w:val="Hyperlink"/>
          </w:rPr>
          <w:t xml:space="preserve">2024.06</w:t>
        </w:r>
      </w:hyperlink>
      <w:r>
        <w:t xml:space="preserve"> </w:t>
      </w:r>
      <w:r>
        <w:t xml:space="preserve">use case package.</w:t>
      </w:r>
    </w:p>
    <w:p>
      <w:pPr>
        <w:pStyle w:val="BodyText"/>
      </w:pPr>
      <w:r>
        <w:t xml:space="preserve">What's new and changed in this release:</w:t>
      </w:r>
    </w:p>
    <w:p>
      <w:pPr>
        <w:numPr>
          <w:ilvl w:val="0"/>
          <w:numId w:val="1005"/>
        </w:numPr>
      </w:pPr>
      <w:r>
        <w:t xml:space="preserve">On the dashboard, zoom and pan capabilities have been added for the Economic/Total Impact heat map chart. A Reset Zoom button has also been added, allowing you to return to the original display. When you are zoomed in, you can hover on contour lines to see the value they represent.</w:t>
      </w:r>
    </w:p>
    <w:p>
      <w:pPr>
        <w:numPr>
          <w:ilvl w:val="0"/>
          <w:numId w:val="1005"/>
        </w:numPr>
      </w:pPr>
      <w:r>
        <w:t xml:space="preserve">The following changes have been made on the assessment forms:</w:t>
      </w:r>
    </w:p>
    <w:p>
      <w:pPr>
        <w:numPr>
          <w:ilvl w:val="1"/>
          <w:numId w:val="1006"/>
        </w:numPr>
      </w:pPr>
      <w:r>
        <w:t xml:space="preserve">The Parent Risk field is now a clickable link back to the Risk record in Archer.</w:t>
      </w:r>
    </w:p>
    <w:p>
      <w:pPr>
        <w:numPr>
          <w:ilvl w:val="1"/>
          <w:numId w:val="1006"/>
        </w:numPr>
      </w:pPr>
      <w:r>
        <w:t xml:space="preserve">In the Add New Risk Event modal, the Parent Risk selector is now filterable. The field uses the record lookup configuration for the Parent Risk field in the Insight Risk Event application.</w:t>
      </w:r>
    </w:p>
    <w:p>
      <w:pPr>
        <w:numPr>
          <w:ilvl w:val="1"/>
          <w:numId w:val="1006"/>
        </w:numPr>
      </w:pPr>
      <w:r>
        <w:t xml:space="preserve">When you add an existing control on a risk or consequence, the Control selector is now searchable and filterable. The field uses the record lookup configuration for the Control Procedure reference field in the Insight Control Probability application.</w:t>
      </w:r>
    </w:p>
    <w:bookmarkEnd w:id="20"/>
    <w:bookmarkStart w:id="21" w:name="Xf3e133428b9e25c55bc59fe534248e6a0c0f17b"/>
    <w:p>
      <w:pPr>
        <w:pStyle w:val="Heading3"/>
      </w:pPr>
      <w:r>
        <w:t xml:space="preserve">4.0</w:t>
      </w:r>
    </w:p>
    <w:p>
      <w:pPr>
        <w:pStyle w:val="FirstParagraph"/>
      </w:pPr>
      <w:r>
        <w:t xml:space="preserve">This release requires the</w:t>
      </w:r>
      <w:r>
        <w:t xml:space="preserve"> </w:t>
      </w:r>
      <w:hyperlink w:anchor="X834af8b2c56d88573aae85d3869761b874ce43e">
        <w:r>
          <w:rPr>
            <w:rStyle w:val="Hyperlink"/>
          </w:rPr>
          <w:t xml:space="preserve">2024.06</w:t>
        </w:r>
      </w:hyperlink>
      <w:r>
        <w:t xml:space="preserve"> </w:t>
      </w:r>
      <w:r>
        <w:t xml:space="preserve">use case package.</w:t>
      </w:r>
    </w:p>
    <w:p>
      <w:pPr>
        <w:pStyle w:val="BodyText"/>
      </w:pPr>
      <w:r>
        <w:t xml:space="preserve">What's new and changed in this release:</w:t>
      </w:r>
    </w:p>
    <w:p>
      <w:pPr>
        <w:numPr>
          <w:ilvl w:val="0"/>
          <w:numId w:val="1007"/>
        </w:numPr>
      </w:pPr>
      <w:r>
        <w:t xml:space="preserve">To provide more visibility into tail risk, support has been added for calculating Value At Risk (VaR) and Conditional Value at Risk (CVaR) and allowing users to dynamically aggregate these values for Consequences, Risk Events, Risks or any entity in the hierarchy structure.</w:t>
      </w:r>
    </w:p>
    <w:p>
      <w:pPr>
        <w:numPr>
          <w:ilvl w:val="1"/>
          <w:numId w:val="1008"/>
        </w:numPr>
      </w:pPr>
      <w:r>
        <w:t xml:space="preserve">On the risk event assessment form, the following changes have been made:</w:t>
      </w:r>
    </w:p>
    <w:p>
      <w:pPr>
        <w:numPr>
          <w:ilvl w:val="2"/>
          <w:numId w:val="1009"/>
        </w:numPr>
      </w:pPr>
      <w:r>
        <w:t xml:space="preserve">For each economic consequence, VaR loss curves are now available (for inherent, actual, and full states of the control environment depending on the selected assessment type) and VaR and CVaR are calculated.</w:t>
      </w:r>
    </w:p>
    <w:p>
      <w:pPr>
        <w:numPr>
          <w:ilvl w:val="2"/>
          <w:numId w:val="1009"/>
        </w:numPr>
      </w:pPr>
      <w:r>
        <w:t xml:space="preserve">In the Quantification Metrics panel (previously called the Expected Values panel), VaR and CVaR aggregations are displayed.</w:t>
      </w:r>
    </w:p>
    <w:p>
      <w:pPr>
        <w:numPr>
          <w:ilvl w:val="1"/>
          <w:numId w:val="1008"/>
        </w:numPr>
      </w:pPr>
      <w:r>
        <w:t xml:space="preserve">On the dashboard, a new report, Aggregated Loss Distributions, has been added. This report allows you to compare aggregated VaR and CVaR values for entities in your hierarchy.</w:t>
      </w:r>
    </w:p>
    <w:p>
      <w:pPr>
        <w:numPr>
          <w:ilvl w:val="0"/>
          <w:numId w:val="1007"/>
        </w:numPr>
      </w:pPr>
      <w:r>
        <w:t xml:space="preserve">The Aggregated Risk Breakdown report has been renamed, to Breakdown by Aggregated Economic Impact (if the Impact filter is set to Economic) or Breakdown by Aggregated Total Impact (if the Impact filter is set to Total).</w:t>
      </w:r>
    </w:p>
    <w:p>
      <w:pPr>
        <w:numPr>
          <w:ilvl w:val="0"/>
          <w:numId w:val="1007"/>
        </w:numPr>
      </w:pPr>
      <w:r>
        <w:t xml:space="preserve">In hierarchies, you can now use an application with internal references in a place other than at the top of the hierarchy.</w:t>
      </w:r>
    </w:p>
    <w:bookmarkEnd w:id="21"/>
    <w:bookmarkStart w:id="27" w:name="X32667547e7cd3e0466547863e1207a8c0c0c549"/>
    <w:p>
      <w:pPr>
        <w:pStyle w:val="Heading3"/>
      </w:pPr>
      <w:r>
        <w:t xml:space="preserve">3.1</w:t>
      </w:r>
    </w:p>
    <w:p>
      <w:pPr>
        <w:pStyle w:val="FirstParagraph"/>
      </w:pPr>
      <w:r>
        <w:t xml:space="preserve">This release requires the</w:t>
      </w:r>
      <w:r>
        <w:t xml:space="preserve"> </w:t>
      </w:r>
      <w:hyperlink w:anchor="X970a814f9c43d0bb3c7fcd9a61cbfb0a182bdaf">
        <w:r>
          <w:rPr>
            <w:rStyle w:val="Hyperlink"/>
          </w:rPr>
          <w:t xml:space="preserve">6.14.0.1.2</w:t>
        </w:r>
      </w:hyperlink>
      <w:r>
        <w:t xml:space="preserve"> </w:t>
      </w:r>
      <w:r>
        <w:t xml:space="preserve">use case package.</w:t>
      </w:r>
    </w:p>
    <w:p>
      <w:pPr>
        <w:pStyle w:val="BodyText"/>
      </w:pPr>
      <w:r>
        <w:t xml:space="preserve">What's new and changed in this release:</w:t>
      </w:r>
    </w:p>
    <w:p>
      <w:pPr>
        <w:numPr>
          <w:ilvl w:val="0"/>
          <w:numId w:val="1010"/>
        </w:numPr>
      </w:pPr>
      <w:r>
        <w:t xml:space="preserve">A new assessment type has been added,</w:t>
      </w:r>
      <w:r>
        <w:t xml:space="preserve"> </w:t>
      </w:r>
      <w:hyperlink r:id="rId22">
        <w:r>
          <w:rPr>
            <w:rStyle w:val="Hyperlink"/>
          </w:rPr>
          <w:t xml:space="preserve">control specification</w:t>
        </w:r>
      </w:hyperlink>
      <w:r>
        <w:t xml:space="preserve">, which allows you to quantify the effectiveness of your controls, so you can show that there are benefits to them or improvements to be made.</w:t>
      </w:r>
    </w:p>
    <w:p>
      <w:pPr>
        <w:numPr>
          <w:ilvl w:val="0"/>
          <w:numId w:val="1010"/>
        </w:numPr>
      </w:pPr>
      <w:r>
        <w:t xml:space="preserve">On the</w:t>
      </w:r>
      <w:r>
        <w:t xml:space="preserve"> </w:t>
      </w:r>
      <w:hyperlink r:id="rId23">
        <w:r>
          <w:rPr>
            <w:rStyle w:val="Hyperlink"/>
          </w:rPr>
          <w:t xml:space="preserve">Risk Event Listing page</w:t>
        </w:r>
      </w:hyperlink>
      <w:r>
        <w:t xml:space="preserve">, new columns have been added for inherent impact (both Economic and Total) and for your aggregation hierarchies.</w:t>
      </w:r>
    </w:p>
    <w:p>
      <w:pPr>
        <w:numPr>
          <w:ilvl w:val="0"/>
          <w:numId w:val="1010"/>
        </w:numPr>
      </w:pPr>
      <w:r>
        <w:t xml:space="preserve">Controls and mitigations have been renamed to preventive controls and mitigating controls.</w:t>
      </w:r>
    </w:p>
    <w:p>
      <w:pPr>
        <w:numPr>
          <w:ilvl w:val="0"/>
          <w:numId w:val="1010"/>
        </w:numPr>
      </w:pPr>
      <w:r>
        <w:t xml:space="preserve">References to bowties have been updated. The "Bowtie" assessment type is now "Manual" and "View Bowties" is now "View Relationships".</w:t>
      </w:r>
    </w:p>
    <w:p>
      <w:pPr>
        <w:numPr>
          <w:ilvl w:val="0"/>
          <w:numId w:val="1000"/>
        </w:numPr>
      </w:pPr>
      <w:r>
        <w:rPr>
          <w:b/>
          <w:bCs/>
        </w:rPr>
        <w:t xml:space="preserve">Note:</w:t>
      </w:r>
      <w:r>
        <w:t xml:space="preserve"> </w:t>
      </w:r>
      <w:r>
        <w:t xml:space="preserve">In the Insight Risk Event application, the Load Insight Quantitative Assessment Form custom object references a URL that has been updated. If you do not update the application with the latest package, you will need to manually update the highlighted string in the image to to replace</w:t>
      </w:r>
      <w:r>
        <w:t xml:space="preserve"> </w:t>
      </w:r>
      <w:r>
        <w:t xml:space="preserve">'riskBowtie/';</w:t>
      </w:r>
      <w:r>
        <w:t xml:space="preserve"> </w:t>
      </w:r>
      <w:r>
        <w:t xml:space="preserve">with</w:t>
      </w:r>
      <w:r>
        <w:t xml:space="preserve"> </w:t>
      </w:r>
      <w:r>
        <w:t xml:space="preserve">'relationships/';</w:t>
      </w:r>
    </w:p>
    <w:p>
      <w:pPr>
        <w:numPr>
          <w:ilvl w:val="0"/>
          <w:numId w:val="1000"/>
        </w:numPr>
      </w:pPr>
      <w:r>
        <w:drawing>
          <wp:inline>
            <wp:extent cx="5334000" cy="1543402"/>
            <wp:effectExtent b="0" l="0" r="0" t="0"/>
            <wp:docPr descr="" title="" id="25" name="Picture"/>
            <a:graphic>
              <a:graphicData uri="http://schemas.openxmlformats.org/drawingml/2006/picture">
                <pic:pic>
                  <pic:nvPicPr>
                    <pic:cNvPr descr="C:/Users/samue/WebScrapper/HelpArcher-to-pdf/images/0cdbf21aea9c603165be1ae56de70e1f.png" id="26" name="Picture"/>
                    <pic:cNvPicPr>
                      <a:picLocks noChangeArrowheads="1" noChangeAspect="1"/>
                    </pic:cNvPicPr>
                  </pic:nvPicPr>
                  <pic:blipFill>
                    <a:blip r:embed="rId24"/>
                    <a:stretch>
                      <a:fillRect/>
                    </a:stretch>
                  </pic:blipFill>
                  <pic:spPr bwMode="auto">
                    <a:xfrm>
                      <a:off x="0" y="0"/>
                      <a:ext cx="5334000" cy="1543402"/>
                    </a:xfrm>
                    <a:prstGeom prst="rect">
                      <a:avLst/>
                    </a:prstGeom>
                    <a:noFill/>
                    <a:ln w="9525">
                      <a:noFill/>
                      <a:headEnd/>
                      <a:tailEnd/>
                    </a:ln>
                  </pic:spPr>
                </pic:pic>
              </a:graphicData>
            </a:graphic>
          </wp:inline>
        </w:drawing>
      </w:r>
    </w:p>
    <w:bookmarkEnd w:id="27"/>
    <w:bookmarkStart w:id="30" w:name="X2d200f8670dbdb3e253a90eee5098477c95c23d"/>
    <w:p>
      <w:pPr>
        <w:pStyle w:val="Heading3"/>
      </w:pPr>
      <w:r>
        <w:t xml:space="preserve">3.0</w:t>
      </w:r>
    </w:p>
    <w:p>
      <w:pPr>
        <w:pStyle w:val="FirstParagraph"/>
      </w:pPr>
      <w:r>
        <w:t xml:space="preserve">What's changed in this release:</w:t>
      </w:r>
    </w:p>
    <w:p>
      <w:pPr>
        <w:numPr>
          <w:ilvl w:val="0"/>
          <w:numId w:val="1011"/>
        </w:numPr>
      </w:pPr>
      <w:r>
        <w:t xml:space="preserve">A new</w:t>
      </w:r>
      <w:r>
        <w:t xml:space="preserve"> </w:t>
      </w:r>
      <w:hyperlink r:id="rId28">
        <w:r>
          <w:rPr>
            <w:rStyle w:val="Hyperlink"/>
          </w:rPr>
          <w:t xml:space="preserve">risk quantification dashboard</w:t>
        </w:r>
      </w:hyperlink>
      <w:r>
        <w:t xml:space="preserve"> </w:t>
      </w:r>
      <w:r>
        <w:t xml:space="preserve">has been added.</w:t>
      </w:r>
    </w:p>
    <w:p>
      <w:pPr>
        <w:numPr>
          <w:ilvl w:val="0"/>
          <w:numId w:val="1011"/>
        </w:numPr>
      </w:pPr>
      <w:r>
        <w:t xml:space="preserve">Two</w:t>
      </w:r>
      <w:r>
        <w:t xml:space="preserve"> </w:t>
      </w:r>
      <w:hyperlink r:id="rId29">
        <w:r>
          <w:rPr>
            <w:rStyle w:val="Hyperlink"/>
          </w:rPr>
          <w:t xml:space="preserve">assessment screens</w:t>
        </w:r>
      </w:hyperlink>
      <w:r>
        <w:t xml:space="preserve"> </w:t>
      </w:r>
      <w:r>
        <w:t xml:space="preserve">have been added to allow you to assess quantitative risks on an actual or inherent/actual basis.</w:t>
      </w:r>
    </w:p>
    <w:bookmarkEnd w:id="30"/>
    <w:bookmarkEnd w:id="31"/>
    <w:bookmarkStart w:id="50" w:name="ArcherInsightusecase"/>
    <w:p>
      <w:pPr>
        <w:pStyle w:val="Heading2"/>
      </w:pPr>
      <w:r>
        <w:t xml:space="preserve">Archer Insight</w:t>
      </w:r>
      <w:r>
        <w:t xml:space="preserve"> </w:t>
      </w:r>
      <w:r>
        <w:t xml:space="preserve">use case</w:t>
      </w:r>
    </w:p>
    <w:bookmarkStart w:id="33" w:name="Xd2f9ea76bf92863c322e680002549656b6715e5"/>
    <w:p>
      <w:pPr>
        <w:pStyle w:val="Heading3"/>
      </w:pPr>
      <w:bookmarkStart w:id="32" w:name="X834af8b2c56d88573aae85d3869761b874ce43e"/>
      <w:bookmarkEnd w:id="32"/>
      <w:r>
        <w:t xml:space="preserve">2024.06</w:t>
      </w:r>
    </w:p>
    <w:p>
      <w:pPr>
        <w:pStyle w:val="FirstParagraph"/>
      </w:pPr>
      <w:r>
        <w:t xml:space="preserve">What's new and changed in this release:</w:t>
      </w:r>
    </w:p>
    <w:p>
      <w:pPr>
        <w:numPr>
          <w:ilvl w:val="0"/>
          <w:numId w:val="1012"/>
        </w:numPr>
      </w:pPr>
      <w:r>
        <w:t xml:space="preserve">In the Consequences, Risk Event, Risks, and entity applications, the names of the Variance and 3rd Central Moment fields have been updated to Standard Deviation and Skewness, respectively, to better reflect the data held in them. Alias names remain the same.</w:t>
      </w:r>
    </w:p>
    <w:p>
      <w:pPr>
        <w:numPr>
          <w:ilvl w:val="0"/>
          <w:numId w:val="1012"/>
        </w:numPr>
      </w:pPr>
      <w:r>
        <w:t xml:space="preserve">In the Enterprise &amp; Operational Risk Management workspace, there are two new iViews on the Executive Management dashboard:</w:t>
      </w:r>
    </w:p>
    <w:p>
      <w:pPr>
        <w:numPr>
          <w:ilvl w:val="1"/>
          <w:numId w:val="1013"/>
        </w:numPr>
      </w:pPr>
      <w:r>
        <w:t xml:space="preserve">Value of Control Comparison (Quantitative Risks) has 5 reports that effectively compare the cost of controls to the value they provide in preventing and mitigating quantitative risks.</w:t>
      </w:r>
    </w:p>
    <w:p>
      <w:pPr>
        <w:numPr>
          <w:ilvl w:val="1"/>
          <w:numId w:val="1013"/>
        </w:numPr>
      </w:pPr>
      <w:r>
        <w:t xml:space="preserve">Controls by Annual ROI (Quantitative Risks) has 4 reports that compare the return on investment (ROI) for controls. (ROI = (value-cost)/cost.)</w:t>
      </w:r>
    </w:p>
    <w:bookmarkEnd w:id="33"/>
    <w:bookmarkStart w:id="36" w:name="X4507ff37536f21d347830c6d7e9c6912df7acd6"/>
    <w:p>
      <w:pPr>
        <w:pStyle w:val="Heading3"/>
      </w:pPr>
      <w:bookmarkStart w:id="34" w:name="Xb635faf6387ee7a25babc6c743e14ccc710ba55"/>
      <w:bookmarkEnd w:id="34"/>
      <w:r>
        <w:t xml:space="preserve">2024.03</w:t>
      </w:r>
    </w:p>
    <w:p>
      <w:pPr>
        <w:pStyle w:val="FirstParagraph"/>
      </w:pPr>
      <w:r>
        <w:t xml:space="preserve">What's new and changed in this release:</w:t>
      </w:r>
    </w:p>
    <w:p>
      <w:pPr>
        <w:numPr>
          <w:ilvl w:val="0"/>
          <w:numId w:val="1014"/>
        </w:numPr>
      </w:pPr>
      <w:r>
        <w:t xml:space="preserve">New fields have been added to Insight applications to support Value At Risk (VaR) and Conditional Value at Risk (CVaR) calculations.</w:t>
      </w:r>
    </w:p>
    <w:p>
      <w:pPr>
        <w:numPr>
          <w:ilvl w:val="0"/>
          <w:numId w:val="1014"/>
        </w:numPr>
      </w:pPr>
      <w:r>
        <w:t xml:space="preserve">The Corporate Global Variables application has a new section where</w:t>
      </w:r>
      <w:r>
        <w:t xml:space="preserve"> </w:t>
      </w:r>
      <w:hyperlink r:id="rId35">
        <w:r>
          <w:rPr>
            <w:rStyle w:val="Hyperlink"/>
          </w:rPr>
          <w:t xml:space="preserve">you can define Insight UI settings</w:t>
        </w:r>
      </w:hyperlink>
      <w:r>
        <w:t xml:space="preserve">, such as currency, heat map gradient thresholds, and VaR and CVaR levels.</w:t>
      </w:r>
    </w:p>
    <w:p>
      <w:pPr>
        <w:numPr>
          <w:ilvl w:val="0"/>
          <w:numId w:val="1014"/>
        </w:numPr>
      </w:pPr>
      <w:r>
        <w:t xml:space="preserve">The Archer Insight use case has been incorporated into the Archer installer.</w:t>
      </w:r>
    </w:p>
    <w:bookmarkEnd w:id="36"/>
    <w:bookmarkStart w:id="38" w:name="X3e17161e180ce442992839a70bade8b5edcb0bd"/>
    <w:p>
      <w:pPr>
        <w:pStyle w:val="Heading3"/>
      </w:pPr>
      <w:bookmarkStart w:id="37" w:name="X970a814f9c43d0bb3c7fcd9a61cbfb0a182bdaf"/>
      <w:bookmarkEnd w:id="37"/>
      <w:r>
        <w:t xml:space="preserve">6.14.0.1.2</w:t>
      </w:r>
    </w:p>
    <w:p>
      <w:pPr>
        <w:pStyle w:val="FirstParagraph"/>
      </w:pPr>
      <w:r>
        <w:t xml:space="preserve">What's changed in this release:</w:t>
      </w:r>
    </w:p>
    <w:p>
      <w:pPr>
        <w:numPr>
          <w:ilvl w:val="0"/>
          <w:numId w:val="1015"/>
        </w:numPr>
      </w:pPr>
      <w:r>
        <w:t xml:space="preserve">References to bowties have been updated. The "Bowtie" assessment type is now "Manual".</w:t>
      </w:r>
    </w:p>
    <w:p>
      <w:pPr>
        <w:numPr>
          <w:ilvl w:val="0"/>
          <w:numId w:val="1015"/>
        </w:numPr>
      </w:pPr>
      <w:r>
        <w:t xml:space="preserve">The Control Procedures application and Costs of Control sub-form have been updated to allow you to compare the costs of a control to the value of a control.</w:t>
      </w:r>
    </w:p>
    <w:p>
      <w:pPr>
        <w:numPr>
          <w:ilvl w:val="1"/>
          <w:numId w:val="1016"/>
        </w:numPr>
      </w:pPr>
      <w:r>
        <w:t xml:space="preserve">The Costs of Control sub-form has been updated as follows:</w:t>
      </w:r>
    </w:p>
    <w:p>
      <w:pPr>
        <w:numPr>
          <w:ilvl w:val="2"/>
          <w:numId w:val="1017"/>
        </w:numPr>
      </w:pPr>
      <w:r>
        <w:t xml:space="preserve">In the Cost Period field, the One-Time Charge value has been deprecated. Any one-time charges must be converted into a valid annual charge, otherwise they will not be included in the Total Annual Cost of Controls calculation in the parent control procedure.</w:t>
      </w:r>
    </w:p>
    <w:p>
      <w:pPr>
        <w:numPr>
          <w:ilvl w:val="2"/>
          <w:numId w:val="1017"/>
        </w:numPr>
      </w:pPr>
      <w:r>
        <w:t xml:space="preserve">A new End Date field allows you to mark an end date for costs that are amortized over multiple years.</w:t>
      </w:r>
    </w:p>
    <w:p>
      <w:pPr>
        <w:numPr>
          <w:ilvl w:val="2"/>
          <w:numId w:val="1017"/>
        </w:numPr>
      </w:pPr>
      <w:r>
        <w:t xml:space="preserve">A new Exclude from Aggregation field allows you to mark costs that you don't want to aggregate to the parent control procedure.</w:t>
      </w:r>
    </w:p>
    <w:p>
      <w:pPr>
        <w:numPr>
          <w:ilvl w:val="1"/>
          <w:numId w:val="1016"/>
        </w:numPr>
      </w:pPr>
      <w:r>
        <w:t xml:space="preserve">The Control Procedures application has been updated as follows:</w:t>
      </w:r>
    </w:p>
    <w:p>
      <w:pPr>
        <w:numPr>
          <w:ilvl w:val="2"/>
          <w:numId w:val="1018"/>
        </w:numPr>
      </w:pPr>
      <w:r>
        <w:t xml:space="preserve">The Total One-Time Cost of Control field has been deprecated. This field has also been removed from the following applications: Applications, Business Processes, Insight Control Probability, and Risks.</w:t>
      </w:r>
    </w:p>
    <w:p>
      <w:pPr>
        <w:numPr>
          <w:ilvl w:val="2"/>
          <w:numId w:val="1018"/>
        </w:numPr>
      </w:pPr>
      <w:r>
        <w:t xml:space="preserve">The Total Annual Recurring Cost of Control field has been renamed to Total Annual Cost of Controls. This change has also been made in the following applications: Applications, Business Processes, Insight Control Probability, and Risks.</w:t>
      </w:r>
    </w:p>
    <w:p>
      <w:pPr>
        <w:numPr>
          <w:ilvl w:val="2"/>
          <w:numId w:val="1018"/>
        </w:numPr>
      </w:pPr>
      <w:r>
        <w:t xml:space="preserve">On the Risk Management tab, the Quantitative Risk - General Summary section now includes three new fields: Total Value of Control (Annual), Total Annual Value of Control Minus Annual Costs, and Return on Annual Investment of Controls.</w:t>
      </w:r>
    </w:p>
    <w:p>
      <w:pPr>
        <w:numPr>
          <w:ilvl w:val="1"/>
          <w:numId w:val="1016"/>
        </w:numPr>
      </w:pPr>
      <w:r>
        <w:t xml:space="preserve">There are new reports in Control Procedures, Company, Division, and Business Unit that allow you to compare control value and efficiency.</w:t>
      </w:r>
    </w:p>
    <w:bookmarkEnd w:id="38"/>
    <w:bookmarkStart w:id="49" w:name="Xed22fdf6d9721627cde29529f63e0b3a1de1265"/>
    <w:p>
      <w:pPr>
        <w:pStyle w:val="Heading3"/>
      </w:pPr>
      <w:r>
        <w:t xml:space="preserve">6.13.0.1</w:t>
      </w:r>
    </w:p>
    <w:p>
      <w:pPr>
        <w:pStyle w:val="FirstParagraph"/>
      </w:pPr>
      <w:r>
        <w:t xml:space="preserve">What's changed in the release:</w:t>
      </w:r>
    </w:p>
    <w:p>
      <w:pPr>
        <w:numPr>
          <w:ilvl w:val="0"/>
          <w:numId w:val="1019"/>
        </w:numPr>
      </w:pPr>
      <w:r>
        <w:t xml:space="preserve">The Insight Consequence Probability application has been deprecated.</w:t>
      </w:r>
    </w:p>
    <w:p>
      <w:pPr>
        <w:numPr>
          <w:ilvl w:val="0"/>
          <w:numId w:val="1019"/>
        </w:numPr>
      </w:pPr>
      <w:r>
        <w:t xml:space="preserve">The Insight Corporate application has been renamed to Corporate Global Variables.</w:t>
      </w:r>
    </w:p>
    <w:bookmarkStart w:id="40" w:name="Applicationsinotherusecases"/>
    <w:p>
      <w:pPr>
        <w:pStyle w:val="Heading4"/>
      </w:pPr>
      <w:r>
        <w:t xml:space="preserve">Applications in other use cases</w:t>
      </w:r>
    </w:p>
    <w:p>
      <w:pPr>
        <w:pStyle w:val="FirstParagraph"/>
      </w:pPr>
      <w:r>
        <w:t xml:space="preserve">The use case package contains updates to applications in other use cases. See</w:t>
      </w:r>
      <w:r>
        <w:t xml:space="preserve"> </w:t>
      </w:r>
      <w:hyperlink r:id="rId39">
        <w:r>
          <w:rPr>
            <w:rStyle w:val="Hyperlink"/>
          </w:rPr>
          <w:t xml:space="preserve">Package Contents</w:t>
        </w:r>
      </w:hyperlink>
      <w:r>
        <w:t xml:space="preserve"> </w:t>
      </w:r>
      <w:r>
        <w:t xml:space="preserve">for more information.</w:t>
      </w:r>
    </w:p>
    <w:p>
      <w:pPr>
        <w:pStyle w:val="BodyText"/>
      </w:pPr>
      <w:r>
        <w:t xml:space="preserve">What's changed:</w:t>
      </w:r>
    </w:p>
    <w:p>
      <w:pPr>
        <w:numPr>
          <w:ilvl w:val="0"/>
          <w:numId w:val="1020"/>
        </w:numPr>
      </w:pPr>
      <w:r>
        <w:t xml:space="preserve">The Risk Register application has been renamed to Risks and some of the process flow for creating risks has changed. See</w:t>
      </w:r>
      <w:r>
        <w:t xml:space="preserve"> </w:t>
      </w:r>
      <w:hyperlink w:anchor="Creating">
        <w:r>
          <w:rPr>
            <w:rStyle w:val="Hyperlink"/>
          </w:rPr>
          <w:t xml:space="preserve">Creating risks</w:t>
        </w:r>
      </w:hyperlink>
      <w:r>
        <w:t xml:space="preserve"> </w:t>
      </w:r>
      <w:r>
        <w:t xml:space="preserve">for more information.</w:t>
      </w:r>
    </w:p>
    <w:p>
      <w:pPr>
        <w:numPr>
          <w:ilvl w:val="0"/>
          <w:numId w:val="1020"/>
        </w:numPr>
      </w:pPr>
      <w:r>
        <w:t xml:space="preserve">The Risk Register Library application has been renamed to Risk Statements.</w:t>
      </w:r>
    </w:p>
    <w:p>
      <w:pPr>
        <w:numPr>
          <w:ilvl w:val="0"/>
          <w:numId w:val="1020"/>
        </w:numPr>
      </w:pPr>
      <w:r>
        <w:t xml:space="preserve">A new Risk Generator application has been added. The Risk Generator application allows you to quickly generate multiple Risks records, based on selected Risk Statements and targets (for example, applications, business processes, or facilities). A data feed runs after you complete the record and generates one risk per unique combination of statement and target. For example, if you selected 2 Risk Statements and targeted 3 Facilities records, the system would generate 6 Risks records.</w:t>
      </w:r>
    </w:p>
    <w:p>
      <w:pPr>
        <w:numPr>
          <w:ilvl w:val="0"/>
          <w:numId w:val="1000"/>
        </w:numPr>
      </w:pPr>
      <w:r>
        <w:t xml:space="preserve">If you have licensed a use case that contains Metrics and Metrics Library, the feed also generates metrics for each generated risk, based on the Metrics Library records tied to the selected Risk Statements.</w:t>
      </w:r>
    </w:p>
    <w:p>
      <w:pPr>
        <w:numPr>
          <w:ilvl w:val="0"/>
          <w:numId w:val="1020"/>
        </w:numPr>
      </w:pPr>
      <w:r>
        <w:t xml:space="preserve">The Control Procedures application has been updated to include a lifecycle status field. See</w:t>
      </w:r>
      <w:r>
        <w:t xml:space="preserve"> </w:t>
      </w:r>
      <w:hyperlink w:anchor="Control">
        <w:r>
          <w:rPr>
            <w:rStyle w:val="Hyperlink"/>
          </w:rPr>
          <w:t xml:space="preserve">Control procedure lifecycle status</w:t>
        </w:r>
      </w:hyperlink>
      <w:r>
        <w:t xml:space="preserve"> </w:t>
      </w:r>
      <w:r>
        <w:t xml:space="preserve">for more information.</w:t>
      </w:r>
    </w:p>
    <w:bookmarkEnd w:id="40"/>
    <w:bookmarkStart w:id="46" w:name="Creatingrisks"/>
    <w:p>
      <w:pPr>
        <w:pStyle w:val="Heading4"/>
      </w:pPr>
      <w:bookmarkStart w:id="41" w:name="Creating"/>
      <w:bookmarkEnd w:id="41"/>
      <w:r>
        <w:t xml:space="preserve">Creating risks</w:t>
      </w:r>
    </w:p>
    <w:p>
      <w:pPr>
        <w:pStyle w:val="FirstParagraph"/>
      </w:pPr>
      <w:r>
        <w:t xml:space="preserve">The process flow for creating risks has been updated.</w:t>
      </w:r>
    </w:p>
    <w:p>
      <w:pPr>
        <w:pStyle w:val="BodyText"/>
      </w:pPr>
      <w:r>
        <w:t xml:space="preserve">Download the source file of the diagram here:</w:t>
      </w:r>
      <w:r>
        <w:t xml:space="preserve"> </w:t>
      </w:r>
      <w:hyperlink r:id="rId42">
        <w:r>
          <w:rPr>
            <w:rStyle w:val="Hyperlink"/>
          </w:rPr>
          <w:t xml:space="preserve">Archer Insight Risks Diagram</w:t>
        </w:r>
      </w:hyperlink>
    </w:p>
    <w:p>
      <w:pPr>
        <w:pStyle w:val="BodyText"/>
      </w:pPr>
      <w:r>
        <w:drawing>
          <wp:inline>
            <wp:extent cx="5334000" cy="9431444"/>
            <wp:effectExtent b="0" l="0" r="0" t="0"/>
            <wp:docPr descr="" title="" id="44" name="Picture"/>
            <a:graphic>
              <a:graphicData uri="http://schemas.openxmlformats.org/drawingml/2006/picture">
                <pic:pic>
                  <pic:nvPicPr>
                    <pic:cNvPr descr="C:/Users/samue/WebScrapper/HelpArcher-to-pdf/images/95f83b6ca95cf3fc548fc9ef0d07cf74.png" id="45" name="Picture"/>
                    <pic:cNvPicPr>
                      <a:picLocks noChangeArrowheads="1" noChangeAspect="1"/>
                    </pic:cNvPicPr>
                  </pic:nvPicPr>
                  <pic:blipFill>
                    <a:blip r:embed="rId43"/>
                    <a:stretch>
                      <a:fillRect/>
                    </a:stretch>
                  </pic:blipFill>
                  <pic:spPr bwMode="auto">
                    <a:xfrm>
                      <a:off x="0" y="0"/>
                      <a:ext cx="5334000" cy="9431444"/>
                    </a:xfrm>
                    <a:prstGeom prst="rect">
                      <a:avLst/>
                    </a:prstGeom>
                    <a:noFill/>
                    <a:ln w="9525">
                      <a:noFill/>
                      <a:headEnd/>
                      <a:tailEnd/>
                    </a:ln>
                  </pic:spPr>
                </pic:pic>
              </a:graphicData>
            </a:graphic>
          </wp:inline>
        </w:drawing>
      </w:r>
    </w:p>
    <w:bookmarkEnd w:id="46"/>
    <w:bookmarkStart w:id="48" w:name="Controlprocedurelifecyclestatus"/>
    <w:p>
      <w:pPr>
        <w:pStyle w:val="Heading4"/>
      </w:pPr>
      <w:bookmarkStart w:id="47" w:name="Control"/>
      <w:bookmarkEnd w:id="47"/>
      <w:r>
        <w:t xml:space="preserve">Control procedure lifecycle status</w:t>
      </w:r>
    </w:p>
    <w:p>
      <w:pPr>
        <w:pStyle w:val="FirstParagraph"/>
      </w:pPr>
      <w:r>
        <w:t xml:space="preserve">A new Lifecycle Status values list field has been added to the Control Procedures application to help determine the actual control value for</w:t>
      </w:r>
      <w:r>
        <w:t xml:space="preserve"> </w:t>
      </w:r>
      <w:r>
        <w:t xml:space="preserve">Archer Insight</w:t>
      </w:r>
      <w:r>
        <w:t xml:space="preserve">. The field has four values: Proposed, In Development, Active, and Inactive. The combination of Lifecycle Status and the existing Compliance status is captured in a new Control Compliance &amp; Lifecycle Multiplier field, which has four values: 0%, 10%, 80%, and 100%. For example, a control procedure that is Active and Compliant calculates to 100% whereas one that is Inactive and Non-Compliant calculates to 0%. You can adjust these values if needed.</w:t>
      </w:r>
    </w:p>
    <w:p>
      <w:pPr>
        <w:pStyle w:val="BodyText"/>
      </w:pPr>
      <w:r>
        <w:t xml:space="preserve">In the Insight Control Probability application, the Multiplier value is multiplied by the Probability of Success (which is entered by the user) to get an Actual Probability of Success value.</w:t>
      </w:r>
    </w:p>
    <w:bookmarkEnd w:id="48"/>
    <w:bookmarkEnd w:id="49"/>
    <w:bookmarkEnd w:id="50"/>
    <w:bookmarkEnd w:id="51"/>
    <w:bookmarkEnd w:id="5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hyperlink" Id="rId42" Target="../Resources/Images/Insight/insight_risk_create.vsdx" TargetMode="External" /><Relationship Type="http://schemas.openxmlformats.org/officeDocument/2006/relationships/hyperlink" Id="rId22" Target="insight_assess_control_spec.htm" TargetMode="External" /><Relationship Type="http://schemas.openxmlformats.org/officeDocument/2006/relationships/hyperlink" Id="rId28" Target="insight_dashboard.htm" TargetMode="External" /><Relationship Type="http://schemas.openxmlformats.org/officeDocument/2006/relationships/hyperlink" Id="rId23" Target="insight_listing_page.htm" TargetMode="External" /><Relationship Type="http://schemas.openxmlformats.org/officeDocument/2006/relationships/hyperlink" Id="rId39" Target="insight_package_install.htm#Package" TargetMode="External" /><Relationship Type="http://schemas.openxmlformats.org/officeDocument/2006/relationships/hyperlink" Id="rId29" Target="insight_quant_assessments.htm" TargetMode="External" /><Relationship Type="http://schemas.openxmlformats.org/officeDocument/2006/relationships/hyperlink" Id="rId35" Target="insight_uc_setting_up.htm#Set2" TargetMode="External" /></Relationships>
</file>

<file path=word/_rels/footnotes.xml.rels><?xml version="1.0" encoding="UTF-8"?><Relationships xmlns="http://schemas.openxmlformats.org/package/2006/relationships"><Relationship Type="http://schemas.openxmlformats.org/officeDocument/2006/relationships/hyperlink" Id="rId42" Target="../Resources/Images/Insight/insight_risk_create.vsdx" TargetMode="External" /><Relationship Type="http://schemas.openxmlformats.org/officeDocument/2006/relationships/hyperlink" Id="rId22" Target="insight_assess_control_spec.htm" TargetMode="External" /><Relationship Type="http://schemas.openxmlformats.org/officeDocument/2006/relationships/hyperlink" Id="rId28" Target="insight_dashboard.htm" TargetMode="External" /><Relationship Type="http://schemas.openxmlformats.org/officeDocument/2006/relationships/hyperlink" Id="rId23" Target="insight_listing_page.htm" TargetMode="External" /><Relationship Type="http://schemas.openxmlformats.org/officeDocument/2006/relationships/hyperlink" Id="rId39" Target="insight_package_install.htm#Package" TargetMode="External" /><Relationship Type="http://schemas.openxmlformats.org/officeDocument/2006/relationships/hyperlink" Id="rId29" Target="insight_quant_assessments.htm" TargetMode="External" /><Relationship Type="http://schemas.openxmlformats.org/officeDocument/2006/relationships/hyperlink" Id="rId35" Target="insight_uc_setting_up.htm#Set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2025-03-06T14:43:14Z</dcterms:created>
  <dcterms:modified xsi:type="dcterms:W3CDTF">2025-03-06T14:43:14Z</dcterms:modified>
</cp:coreProperties>
</file>

<file path=docProps/custom.xml><?xml version="1.0" encoding="utf-8"?>
<Properties xmlns="http://schemas.openxmlformats.org/officeDocument/2006/custom-properties" xmlns:vt="http://schemas.openxmlformats.org/officeDocument/2006/docPropsVTypes"/>
</file>