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archer-insight-use-case-design-1"/>
    <w:p>
      <w:pPr>
        <w:pStyle w:val="Heading1"/>
      </w:pPr>
      <w:r>
        <w:t xml:space="preserve">Archer Insight</w:t>
      </w:r>
      <w:r>
        <w:t xml:space="preserve"> </w:t>
      </w:r>
      <w:r>
        <w:t xml:space="preserve">Use Case Design</w:t>
      </w:r>
    </w:p>
    <w:p>
      <w:pPr>
        <w:pStyle w:val="FirstParagraph"/>
      </w:pPr>
      <w:r>
        <w:t xml:space="preserve">This topic contains high-level use case design information.</w:t>
      </w:r>
    </w:p>
    <w:bookmarkStart w:id="24" w:name="architecture-diagram"/>
    <w:p>
      <w:pPr>
        <w:pStyle w:val="Heading2"/>
      </w:pPr>
      <w:r>
        <w:t xml:space="preserve">Architecture diagram</w:t>
      </w:r>
    </w:p>
    <w:p>
      <w:pPr>
        <w:pStyle w:val="FirstParagraph"/>
      </w:pPr>
      <w:r>
        <w:t xml:space="preserve">The following diagram shows the relationships between the applications in the use case.</w:t>
      </w:r>
    </w:p>
    <w:p>
      <w:pPr>
        <w:pStyle w:val="BodyText"/>
      </w:pPr>
      <w:r>
        <w:t xml:space="preserve">Download the source file of the diagram here:</w:t>
      </w:r>
      <w:r>
        <w:t xml:space="preserve"> </w:t>
      </w:r>
      <w:hyperlink r:id="rId20">
        <w:r>
          <w:rPr>
            <w:rStyle w:val="Hyperlink"/>
          </w:rPr>
          <w:t xml:space="preserve">Archer Insight Architecture Diagram</w:t>
        </w:r>
      </w:hyperlink>
    </w:p>
    <w:p>
      <w:pPr>
        <w:pStyle w:val="BodyText"/>
      </w:pPr>
      <w:r>
        <w:drawing>
          <wp:inline>
            <wp:extent cx="5334000" cy="31471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3b809caa430fd268a821db1f6cec18f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applications"/>
    <w:p>
      <w:pPr>
        <w:pStyle w:val="Heading2"/>
      </w:pPr>
      <w:r>
        <w:t xml:space="preserve">Applications</w:t>
      </w:r>
    </w:p>
    <w:p>
      <w:pPr>
        <w:pStyle w:val="TableCaption"/>
      </w:pPr>
      <w:r>
        <w:t xml:space="preserve">The following table describes the use case applications.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describes the use case application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</w:t>
            </w:r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Risk Event</w:t>
            </w:r>
          </w:p>
        </w:tc>
        <w:tc>
          <w:tcPr/>
          <w:p>
            <w:pPr>
              <w:pStyle w:val="BodyText"/>
            </w:pPr>
            <w:r>
              <w:t xml:space="preserve">Risks represent the lowest, most granular level of your risk hierarchy. Risk Events capture the events themselves and must be tied to an individual risk record.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Drivers</w:t>
            </w:r>
          </w:p>
        </w:tc>
        <w:tc>
          <w:tcPr/>
          <w:p>
            <w:pPr>
              <w:pStyle w:val="BodyText"/>
            </w:pPr>
            <w:r>
              <w:t xml:space="preserve">Captures the different possible causes of a risk event.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Driver Probability</w:t>
            </w:r>
          </w:p>
        </w:tc>
        <w:tc>
          <w:tcPr/>
          <w:p>
            <w:pPr>
              <w:pStyle w:val="BodyText"/>
            </w:pPr>
            <w:r>
              <w:t xml:space="preserve">Captures the probability of a specific driver causing a specific risk event.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Consequences</w:t>
            </w:r>
          </w:p>
        </w:tc>
        <w:tc>
          <w:tcPr/>
          <w:p>
            <w:pPr>
              <w:pStyle w:val="BodyText"/>
            </w:pPr>
            <w:r>
              <w:t xml:space="preserve">Captures the different possible consequences of a risk event.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Control Probability</w:t>
            </w:r>
          </w:p>
        </w:tc>
        <w:tc>
          <w:tcPr/>
          <w:p>
            <w:pPr>
              <w:pStyle w:val="BodyText"/>
            </w:pPr>
            <w:r>
              <w:t xml:space="preserve">Captures the probability of success for a control procedure, either in preventing a risk from occurring or mitigating the consequences if it does. For mitigating controls, also captures either the impact reduction for a financial consequence or the impact level reduction for a non-financial consequence.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Upstream Risk Probability</w:t>
            </w:r>
          </w:p>
        </w:tc>
        <w:tc>
          <w:tcPr/>
          <w:p>
            <w:pPr>
              <w:pStyle w:val="BodyText"/>
            </w:pPr>
            <w:r>
              <w:t xml:space="preserve">Links one risk event to another risk event so that one of them can serve as the driver for the other one.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Utility Scale</w:t>
            </w:r>
          </w:p>
        </w:tc>
        <w:tc>
          <w:tcPr/>
          <w:p>
            <w:pPr>
              <w:pStyle w:val="BodyText"/>
            </w:pPr>
            <w:r>
              <w:t xml:space="preserve">Allows you to define a description for each impact level for each non-financial impact category. The descriptions provide context for the impact level in that category and are available in</w:t>
            </w:r>
            <w:r>
              <w:t xml:space="preserve"> </w:t>
            </w:r>
            <w:r>
              <w:t xml:space="preserve">Archer Insight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Used with the Corporate Global Variables application to define your overall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utility scale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Corporate Global Variables</w:t>
            </w:r>
          </w:p>
        </w:tc>
        <w:tc>
          <w:tcPr/>
          <w:p>
            <w:pPr>
              <w:pStyle w:val="BodyText"/>
            </w:pPr>
            <w:r>
              <w:t xml:space="preserve">Used to create a single record in which you set the number of impact levels and the economic equivalents for the top and bottom levels.</w:t>
            </w:r>
          </w:p>
          <w:p>
            <w:pPr>
              <w:pStyle w:val="BodyText"/>
            </w:pPr>
            <w:r>
              <w:t xml:space="preserve">Used with the Utility Scale application to define your overall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utility scale</w:t>
              </w:r>
            </w:hyperlink>
            <w:r>
              <w:t xml:space="preserve">.</w:t>
            </w:r>
          </w:p>
        </w:tc>
      </w:tr>
    </w:tbl>
    <w:bookmarkEnd w:id="26"/>
    <w:bookmarkStart w:id="27" w:name="personas-and-access-roles"/>
    <w:p>
      <w:pPr>
        <w:pStyle w:val="Heading2"/>
      </w:pPr>
      <w:r>
        <w:t xml:space="preserve">Personas and access roles</w:t>
      </w:r>
    </w:p>
    <w:p>
      <w:pPr>
        <w:pStyle w:val="FirstParagraph"/>
      </w:pPr>
      <w:r>
        <w:t xml:space="preserve">The use case contains a Insight Risk Manager access role, which grants you users access to</w:t>
      </w:r>
      <w:r>
        <w:t xml:space="preserve"> </w:t>
      </w:r>
      <w:r>
        <w:t xml:space="preserve">Archer Insight</w:t>
      </w:r>
      <w:r>
        <w:t xml:space="preserve">.</w:t>
      </w:r>
    </w:p>
    <w:p>
      <w:pPr>
        <w:pStyle w:val="BodyText"/>
      </w:pPr>
      <w:r>
        <w:t xml:space="preserve">Access to content, both in Archer and</w:t>
      </w:r>
      <w:r>
        <w:t xml:space="preserve"> </w:t>
      </w:r>
      <w:r>
        <w:t xml:space="preserve">Archer Insight</w:t>
      </w:r>
      <w:r>
        <w:t xml:space="preserve">, is controlled through the existing RM, CM, and EM roles, which have been updated.</w:t>
      </w:r>
    </w:p>
    <w:p>
      <w:pPr>
        <w:pStyle w:val="BodyText"/>
      </w:pPr>
      <w:r>
        <w:t xml:space="preserve">For a complete list of access roles and detailed, page-level access rights, see the</w:t>
      </w:r>
      <w:r>
        <w:t xml:space="preserve"> </w:t>
      </w:r>
      <w:r>
        <w:rPr>
          <w:i/>
          <w:iCs/>
        </w:rPr>
        <w:t xml:space="preserve">Data Dictionary</w:t>
      </w:r>
      <w:r>
        <w:t xml:space="preserve">.</w:t>
      </w:r>
    </w:p>
    <w:p>
      <w:pPr>
        <w:pStyle w:val="BodyText"/>
      </w:pPr>
      <w:r>
        <w:t xml:space="preserve">For a complete list of application record permission fields, including which user/groups fields populate the fields and where the fields inherit permissions from, see the</w:t>
      </w:r>
      <w:r>
        <w:t xml:space="preserve"> </w:t>
      </w:r>
      <w:r>
        <w:rPr>
          <w:i/>
          <w:iCs/>
        </w:rPr>
        <w:t xml:space="preserve">Data Dictionary</w:t>
      </w:r>
      <w:r>
        <w:t xml:space="preserve">.</w:t>
      </w:r>
    </w:p>
    <w:bookmarkEnd w:id="27"/>
    <w:bookmarkStart w:id="28" w:name="dashboards"/>
    <w:p>
      <w:pPr>
        <w:pStyle w:val="Heading2"/>
      </w:pPr>
      <w:r>
        <w:t xml:space="preserve">Dashboards</w:t>
      </w:r>
    </w:p>
    <w:p>
      <w:pPr>
        <w:pStyle w:val="FirstParagraph"/>
      </w:pPr>
      <w:r>
        <w:t xml:space="preserve">There are no Archer dashboards included in this release.</w:t>
      </w:r>
    </w:p>
    <w:bookmarkEnd w:id="28"/>
    <w:bookmarkStart w:id="30" w:name="data-feeds"/>
    <w:p>
      <w:pPr>
        <w:pStyle w:val="Heading2"/>
      </w:pPr>
      <w:r>
        <w:t xml:space="preserve">Data feeds</w:t>
      </w:r>
    </w:p>
    <w:p>
      <w:pPr>
        <w:pStyle w:val="FirstParagraph"/>
      </w:pPr>
      <w:r>
        <w:t xml:space="preserve">The use case provides the following data feeds. For instructions on setting up the feeds, see</w:t>
      </w:r>
      <w:r>
        <w:t xml:space="preserve"> </w:t>
      </w:r>
      <w:hyperlink r:id="rId29">
        <w:r>
          <w:rPr>
            <w:rStyle w:val="Hyperlink"/>
          </w:rPr>
          <w:t xml:space="preserve">Setting Up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Feeds</w:t>
        </w:r>
      </w:hyperlink>
      <w:r>
        <w:t xml:space="preserve">.</w:t>
      </w:r>
    </w:p>
    <w:p>
      <w:pPr>
        <w:pStyle w:val="TableCaption"/>
      </w:pPr>
      <w:r>
        <w:t xml:space="preserve">The following table describes the use case data feeds.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describes the use case data feed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Data Feed</w:t>
            </w:r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Insight - Secondary Risks</w:t>
            </w:r>
          </w:p>
        </w:tc>
        <w:tc>
          <w:tcPr/>
          <w:p>
            <w:pPr>
              <w:pStyle w:val="BodyText"/>
            </w:pPr>
            <w:r>
              <w:t xml:space="preserve">Populates the Downstream Risks reference field according to the Upstream Risks associated to Risk Events.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Insight - Secondary Risks - Removal</w:t>
            </w:r>
          </w:p>
        </w:tc>
        <w:tc>
          <w:tcPr/>
          <w:p>
            <w:pPr>
              <w:pStyle w:val="BodyText"/>
            </w:pPr>
            <w:r>
              <w:t xml:space="preserve">Reference feed to Archer Insight - Secondary Risks. In the Risk Event record, it clears the Reference field of the Downstream Risk if no Upstream Risks exist any longer.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Insight - Populate Control Procedures With Company IDs</w:t>
            </w:r>
          </w:p>
        </w:tc>
        <w:tc>
          <w:tcPr/>
          <w:p>
            <w:pPr>
              <w:pStyle w:val="BodyText"/>
            </w:pPr>
            <w:r>
              <w:t xml:space="preserve">Used to facilitate in data population of report objects in the organizational hierarchy. Adds the Company tracking IDs of all the associated Business Units to a values list in the Control Procedures. A values list field is then leveraged in matching filter for report objects.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Insight - Populate Control Procedures With Company IDs - Company Level</w:t>
            </w:r>
          </w:p>
        </w:tc>
        <w:tc>
          <w:tcPr/>
          <w:p>
            <w:pPr>
              <w:pStyle w:val="BodyText"/>
            </w:pPr>
            <w:r>
              <w:t xml:space="preserve">Reference feed to Archer Insight - Populate Control Procedures With Company IDs. Adds current Company tracking IDs to a values list. A values list field is then leveraged in matching filter for report objects.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Risk Generator</w:t>
            </w:r>
          </w:p>
        </w:tc>
        <w:tc>
          <w:tcPr/>
          <w:p>
            <w:pPr>
              <w:pStyle w:val="BodyText"/>
            </w:pPr>
            <w:r>
              <w:t xml:space="preserve">Creates risks and related metrics from risk statements based on selections in the Risk Generator record.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Risk Generator Clear Flag</w:t>
            </w:r>
          </w:p>
        </w:tc>
        <w:tc>
          <w:tcPr/>
          <w:p>
            <w:pPr>
              <w:pStyle w:val="BodyText"/>
            </w:pPr>
            <w:r>
              <w:t xml:space="preserve">Reference feed to Risk Generator. Once the Risk Generator feed request has completed, the Create Individual Risks Flag is reset to Not Ready for all qualifying content records to ensure a duplicate request is not executed.</w:t>
            </w:r>
          </w:p>
        </w:tc>
      </w:tr>
    </w:tbl>
    <w:bookmarkEnd w:id="30"/>
    <w:bookmarkStart w:id="31" w:name="data-dictionary"/>
    <w:p>
      <w:pPr>
        <w:pStyle w:val="Heading2"/>
      </w:pPr>
      <w:r>
        <w:t xml:space="preserve">Data dictionary</w:t>
      </w:r>
    </w:p>
    <w:p>
      <w:pPr>
        <w:pStyle w:val="FirstParagraph"/>
      </w:pPr>
      <w:r>
        <w:t xml:space="preserve">The Data Dictionary contains configuration information for the use case.</w:t>
      </w:r>
    </w:p>
    <w:p>
      <w:pPr>
        <w:pStyle w:val="BodyText"/>
      </w:pPr>
      <w:r>
        <w:t xml:space="preserve">You can obtain the Data Dictionary for the solution by contacting your</w:t>
      </w:r>
      <w:r>
        <w:t xml:space="preserve"> </w:t>
      </w:r>
      <w:r>
        <w:t xml:space="preserve">Archer</w:t>
      </w:r>
      <w:r>
        <w:t xml:space="preserve"> </w:t>
      </w:r>
      <w:r>
        <w:t xml:space="preserve">Account Representative.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Resources/Images/Insight/insight_architecture_3_1.vsdx" TargetMode="External" /><Relationship Type="http://schemas.openxmlformats.org/officeDocument/2006/relationships/hyperlink" Id="rId29" Target="insight_df_setting_up.htm" TargetMode="External" /><Relationship Type="http://schemas.openxmlformats.org/officeDocument/2006/relationships/hyperlink" Id="rId25" Target="insight_uc_setting_up.htm#Task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sources/Images/Insight/insight_architecture_3_1.vsdx" TargetMode="External" /><Relationship Type="http://schemas.openxmlformats.org/officeDocument/2006/relationships/hyperlink" Id="rId29" Target="insight_df_setting_up.htm" TargetMode="External" /><Relationship Type="http://schemas.openxmlformats.org/officeDocument/2006/relationships/hyperlink" Id="rId25" Target="insight_uc_setting_up.htm#Task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2025-03-06T14:43:28Z</dcterms:created>
  <dcterms:modified xsi:type="dcterms:W3CDTF">2025-03-06T14:43:28Z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