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mc-main-content"/>
    <w:bookmarkStart w:id="33" w:name="using-the-dashboard-1"/>
    <w:p>
      <w:pPr>
        <w:pStyle w:val="Heading1"/>
      </w:pPr>
      <w:r>
        <w:t xml:space="preserve">Using the Dashboard</w:t>
      </w:r>
    </w:p>
    <w:p>
      <w:pPr>
        <w:pStyle w:val="FirstParagraph"/>
      </w:pPr>
      <w:r>
        <w:t xml:space="preserve">The</w:t>
      </w:r>
      <w:r>
        <w:t xml:space="preserve"> </w:t>
      </w:r>
      <w:r>
        <w:t xml:space="preserve">Archer Insight</w:t>
      </w:r>
      <w:r>
        <w:t xml:space="preserve"> </w:t>
      </w:r>
      <w:r>
        <w:t xml:space="preserve">dashboard provides you a high-level view of your quantified risks, including your aggregated expected loss, economic or total impact, and how your risks break down across multiple hierarchies.</w:t>
      </w:r>
    </w:p>
    <w:p>
      <w:pPr>
        <w:pStyle w:val="BodyText"/>
      </w:pPr>
      <w:r>
        <w:rPr>
          <w:b/>
          <w:bCs/>
        </w:rPr>
        <w:t xml:space="preserve">Note:</w:t>
      </w:r>
      <w:r>
        <w:t xml:space="preserve"> </w:t>
      </w:r>
      <w:r>
        <w:t xml:space="preserve">As with all Archer reporting, aggregations only include content to which the current user has access. If the intent for any aggregation is to include all entities, risk events, and consequences, then application and content access strategy should be set up accordingly.</w:t>
      </w:r>
    </w:p>
    <w:p>
      <w:pPr>
        <w:pStyle w:val="BodyText"/>
      </w:pPr>
      <w:r>
        <w:t xml:space="preserve">On this page</w:t>
      </w:r>
    </w:p>
    <w:p>
      <w:pPr>
        <w:pStyle w:val="Compact"/>
        <w:numPr>
          <w:ilvl w:val="0"/>
          <w:numId w:val="1001"/>
        </w:numPr>
      </w:pPr>
      <w:hyperlink w:anchor="Openingthedashboard">
        <w:r>
          <w:rPr>
            <w:rStyle w:val="Hyperlink"/>
          </w:rPr>
          <w:t xml:space="preserve">Opening the dashboard</w:t>
        </w:r>
      </w:hyperlink>
    </w:p>
    <w:p>
      <w:pPr>
        <w:pStyle w:val="Compact"/>
        <w:numPr>
          <w:ilvl w:val="0"/>
          <w:numId w:val="1001"/>
        </w:numPr>
      </w:pPr>
      <w:hyperlink w:anchor="Usingthefilters">
        <w:r>
          <w:rPr>
            <w:rStyle w:val="Hyperlink"/>
          </w:rPr>
          <w:t xml:space="preserve">Using the filters</w:t>
        </w:r>
      </w:hyperlink>
    </w:p>
    <w:p>
      <w:pPr>
        <w:pStyle w:val="Compact"/>
        <w:numPr>
          <w:ilvl w:val="0"/>
          <w:numId w:val="1001"/>
        </w:numPr>
      </w:pPr>
      <w:hyperlink w:anchor="Understandingthecharts">
        <w:r>
          <w:rPr>
            <w:rStyle w:val="Hyperlink"/>
          </w:rPr>
          <w:t xml:space="preserve">Understanding the charts</w:t>
        </w:r>
      </w:hyperlink>
    </w:p>
    <w:p>
      <w:pPr>
        <w:pStyle w:val="Compact"/>
        <w:numPr>
          <w:ilvl w:val="0"/>
          <w:numId w:val="1001"/>
        </w:numPr>
      </w:pPr>
    </w:p>
    <w:p>
      <w:pPr>
        <w:pStyle w:val="Compact"/>
        <w:numPr>
          <w:ilvl w:val="1"/>
          <w:numId w:val="1002"/>
        </w:numPr>
      </w:pPr>
      <w:hyperlink w:anchor="AggregatedExpectedLoss">
        <w:r>
          <w:rPr>
            <w:rStyle w:val="Hyperlink"/>
          </w:rPr>
          <w:t xml:space="preserve">Aggregated Expected Loss</w:t>
        </w:r>
      </w:hyperlink>
    </w:p>
    <w:p>
      <w:pPr>
        <w:pStyle w:val="Compact"/>
        <w:numPr>
          <w:ilvl w:val="1"/>
          <w:numId w:val="1002"/>
        </w:numPr>
      </w:pPr>
      <w:hyperlink w:anchor="EconomicTotalImpact">
        <w:r>
          <w:rPr>
            <w:rStyle w:val="Hyperlink"/>
          </w:rPr>
          <w:t xml:space="preserve">Economic/Total Impact</w:t>
        </w:r>
      </w:hyperlink>
    </w:p>
    <w:p>
      <w:pPr>
        <w:pStyle w:val="Compact"/>
        <w:numPr>
          <w:ilvl w:val="1"/>
          <w:numId w:val="1002"/>
        </w:numPr>
      </w:pPr>
      <w:hyperlink w:anchor="X898809557cef1283946c0dc5372c4d48c90eb4a">
        <w:r>
          <w:rPr>
            <w:rStyle w:val="Hyperlink"/>
          </w:rPr>
          <w:t xml:space="preserve">Breakdown by Aggregated Expected Loss/Total Impact</w:t>
        </w:r>
      </w:hyperlink>
    </w:p>
    <w:p>
      <w:pPr>
        <w:pStyle w:val="Compact"/>
        <w:numPr>
          <w:ilvl w:val="1"/>
          <w:numId w:val="1002"/>
        </w:numPr>
      </w:pPr>
      <w:hyperlink w:anchor="AggregatedLossDistributions">
        <w:r>
          <w:rPr>
            <w:rStyle w:val="Hyperlink"/>
          </w:rPr>
          <w:t xml:space="preserve">Aggregated Loss Distributions</w:t>
        </w:r>
      </w:hyperlink>
    </w:p>
    <w:bookmarkStart w:id="23" w:name="Openingthedashboard"/>
    <w:p>
      <w:pPr>
        <w:pStyle w:val="Heading2"/>
      </w:pPr>
      <w:r>
        <w:t xml:space="preserve">Opening the dashboard</w:t>
      </w:r>
    </w:p>
    <w:p>
      <w:pPr>
        <w:pStyle w:val="FirstParagraph"/>
      </w:pPr>
      <w:r>
        <w:t xml:space="preserve">From the menu button (</w:t>
      </w:r>
      <w:r>
        <w:drawing>
          <wp:inline>
            <wp:extent cx="268941" cy="261257"/>
            <wp:effectExtent b="0" l="0" r="0" t="0"/>
            <wp:docPr descr="" title="" id="21" name="Picture"/>
            <a:graphic>
              <a:graphicData uri="http://schemas.openxmlformats.org/drawingml/2006/picture">
                <pic:pic>
                  <pic:nvPicPr>
                    <pic:cNvPr descr="C:/Users/samue/WebScrapper/HelpArcher-to-pdf/images/2044da73a82b882ec7a93dd667b252a5.png" id="22" name="Picture"/>
                    <pic:cNvPicPr>
                      <a:picLocks noChangeArrowheads="1" noChangeAspect="1"/>
                    </pic:cNvPicPr>
                  </pic:nvPicPr>
                  <pic:blipFill>
                    <a:blip r:embed="rId20"/>
                    <a:stretch>
                      <a:fillRect/>
                    </a:stretch>
                  </pic:blipFill>
                  <pic:spPr bwMode="auto">
                    <a:xfrm>
                      <a:off x="0" y="0"/>
                      <a:ext cx="268941" cy="261257"/>
                    </a:xfrm>
                    <a:prstGeom prst="rect">
                      <a:avLst/>
                    </a:prstGeom>
                    <a:noFill/>
                    <a:ln w="9525">
                      <a:noFill/>
                      <a:headEnd/>
                      <a:tailEnd/>
                    </a:ln>
                  </pic:spPr>
                </pic:pic>
              </a:graphicData>
            </a:graphic>
          </wp:inline>
        </w:drawing>
      </w:r>
      <w:r>
        <w:t xml:space="preserve">), click Home.</w:t>
      </w:r>
    </w:p>
    <w:bookmarkEnd w:id="23"/>
    <w:bookmarkStart w:id="26" w:name="Usingthefilters"/>
    <w:p>
      <w:pPr>
        <w:pStyle w:val="Heading2"/>
      </w:pPr>
      <w:r>
        <w:t xml:space="preserve">Using the filters</w:t>
      </w:r>
    </w:p>
    <w:p>
      <w:pPr>
        <w:pStyle w:val="FirstParagraph"/>
      </w:pPr>
      <w:r>
        <w:t xml:space="preserve">The Filters panel allows you to set the attributes that you want to display on the dashboard. The following filters are available.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Filter</w:t>
            </w:r>
          </w:p>
        </w:tc>
        <w:tc>
          <w:tcPr/>
          <w:p>
            <w:pPr>
              <w:pStyle w:val="Compact"/>
            </w:pPr>
            <w:r>
              <w:t xml:space="preserve">Description</w:t>
            </w:r>
          </w:p>
        </w:tc>
      </w:tr>
      <w:tr>
        <w:tc>
          <w:tcPr/>
          <w:p>
            <w:pPr>
              <w:pStyle w:val="BodyText"/>
            </w:pPr>
            <w:r>
              <w:t xml:space="preserve">Dashboard View</w:t>
            </w:r>
          </w:p>
        </w:tc>
        <w:tc>
          <w:tcPr/>
          <w:p>
            <w:pPr>
              <w:pStyle w:val="BodyText"/>
            </w:pPr>
            <w:r>
              <w:t xml:space="preserve">Determines whether the charts show hierarchy aggregations and data points for risk events or consequences.</w:t>
            </w:r>
          </w:p>
        </w:tc>
      </w:tr>
      <w:tr>
        <w:tc>
          <w:tcPr/>
          <w:p>
            <w:pPr>
              <w:pStyle w:val="BodyText"/>
            </w:pPr>
            <w:r>
              <w:t xml:space="preserve">Impact</w:t>
            </w:r>
          </w:p>
        </w:tc>
        <w:tc>
          <w:tcPr/>
          <w:p>
            <w:pPr>
              <w:pStyle w:val="BodyText"/>
            </w:pPr>
            <w:r>
              <w:t xml:space="preserve">Allows you to view risk event data/aggregations based on financial impacts only or total impacts, meaning both financial and non-financial.</w:t>
            </w:r>
          </w:p>
          <w:p>
            <w:pPr>
              <w:numPr>
                <w:ilvl w:val="0"/>
                <w:numId w:val="1003"/>
              </w:numPr>
            </w:pPr>
            <w:r>
              <w:t xml:space="preserve">If you select economic, all charts show data in the currency</w:t>
            </w:r>
            <w:r>
              <w:t xml:space="preserve"> </w:t>
            </w:r>
            <w:hyperlink r:id="rId24">
              <w:r>
                <w:rPr>
                  <w:rStyle w:val="Hyperlink"/>
                </w:rPr>
                <w:t xml:space="preserve">defined in the Corporate Global Variables application</w:t>
              </w:r>
            </w:hyperlink>
            <w:r>
              <w:t xml:space="preserve">.</w:t>
            </w:r>
          </w:p>
          <w:p>
            <w:pPr>
              <w:numPr>
                <w:ilvl w:val="0"/>
                <w:numId w:val="1003"/>
              </w:numPr>
            </w:pPr>
            <w:r>
              <w:t xml:space="preserve">If you select total, all charts show data in the</w:t>
            </w:r>
            <w:r>
              <w:t xml:space="preserve"> </w:t>
            </w:r>
            <w:hyperlink r:id="rId25">
              <w:r>
                <w:rPr>
                  <w:rStyle w:val="Hyperlink"/>
                </w:rPr>
                <w:t xml:space="preserve">utility scale</w:t>
              </w:r>
            </w:hyperlink>
            <w:r>
              <w:t xml:space="preserve">. The Aggregated Expected Loss and the Breakdown by Aggregated Economic Loss/Total Impact charts aggregate data in financial equivalents and then convert to the utility scale.</w:t>
            </w:r>
          </w:p>
          <w:p>
            <w:pPr>
              <w:numPr>
                <w:ilvl w:val="0"/>
                <w:numId w:val="1000"/>
              </w:numPr>
            </w:pPr>
            <w:r>
              <w:rPr>
                <w:b/>
                <w:bCs/>
              </w:rPr>
              <w:t xml:space="preserve">Note:</w:t>
            </w:r>
            <w:r>
              <w:t xml:space="preserve"> </w:t>
            </w:r>
            <w:r>
              <w:t xml:space="preserve">If you select total, the Aggregated Loss Distribution chart cannot be displayed.</w:t>
            </w:r>
          </w:p>
        </w:tc>
      </w:tr>
      <w:tr>
        <w:tc>
          <w:tcPr/>
          <w:p>
            <w:pPr>
              <w:pStyle w:val="FirstParagraph"/>
            </w:pPr>
            <w:r>
              <w:t xml:space="preserve">Comparison Hierarchy/</w:t>
            </w:r>
            <w:r>
              <w:br/>
            </w:r>
          </w:p>
          <w:p>
            <w:pPr>
              <w:pStyle w:val="BodyText"/>
            </w:pPr>
            <w:r>
              <w:t xml:space="preserve">Comparison Level</w:t>
            </w:r>
          </w:p>
        </w:tc>
        <w:tc>
          <w:tcPr/>
          <w:p>
            <w:pPr>
              <w:pStyle w:val="BodyText"/>
            </w:pPr>
            <w:r>
              <w:t xml:space="preserve">The comparison hierarchy drives how the initial series are generated for the Breakdown by Aggregated Economic Loss/Total Impact charts. The comparison level selection does not affect these charts since you can drill down to navigate the different levels.</w:t>
            </w:r>
          </w:p>
          <w:p>
            <w:pPr>
              <w:pStyle w:val="BodyText"/>
            </w:pPr>
            <w:r>
              <w:t xml:space="preserve">The comparison level does control where the Breakdown by Aggregated Economic Loss/Total Impact charts start. The charts will display the immediate children of the level selected. For example, if you select a company, the series will be the divisions within that company. If you select a specific division, the chart will show the business units within that division.</w:t>
            </w:r>
          </w:p>
          <w:p>
            <w:pPr>
              <w:pStyle w:val="BodyText"/>
            </w:pPr>
            <w:r>
              <w:t xml:space="preserve">For the Economic/Total Impact chart, the comparison hierarchy simply acts as a filter for which risks or consequences are shown.</w:t>
            </w:r>
          </w:p>
          <w:p>
            <w:pPr>
              <w:pStyle w:val="BodyText"/>
            </w:pPr>
            <w:r>
              <w:t xml:space="preserve">For the Aggregated Expected Loss and Economic/Total Impact charts, the comparison level filter allows you to select an individual level in your primary hierarchy. The charts will aggregate but not display only risk events or consequences that belong to the selected level or lower. Both the Aggregated Expected Loss and Breakdown by Aggregated Economic Loss/Total Impact charts will aggregate risks or consequences with no selection in the hierarchy and include them in an 'Unassigned' group. The Economic/Total Impact chart shows all risks or consequences regardless..</w:t>
            </w:r>
          </w:p>
        </w:tc>
      </w:tr>
      <w:tr>
        <w:tc>
          <w:tcPr/>
          <w:p>
            <w:pPr>
              <w:pStyle w:val="BodyText"/>
            </w:pPr>
            <w:r>
              <w:t xml:space="preserve">Filtering Hierarchy /</w:t>
            </w:r>
          </w:p>
          <w:p>
            <w:pPr>
              <w:pStyle w:val="BodyText"/>
            </w:pPr>
            <w:r>
              <w:t xml:space="preserve">Filtering Level</w:t>
            </w:r>
          </w:p>
        </w:tc>
        <w:tc>
          <w:tcPr/>
          <w:p>
            <w:pPr>
              <w:pStyle w:val="BodyText"/>
            </w:pPr>
            <w:r>
              <w:t xml:space="preserve">Acts as a filter on the risks or consequences aggregated or displayed. The charts display or aggregate the intersection of risk events or consequences in the comparison hierarchy and filtering hierarchy.</w:t>
            </w:r>
          </w:p>
          <w:p>
            <w:pPr>
              <w:pStyle w:val="BodyText"/>
            </w:pPr>
            <w:r>
              <w:t xml:space="preserve">For example, if your comparison hierarchy is Organizational, selecting Products and Services as your filtering hierarchy and "Help Desk Services" as the level will limit the risks and consequences displayed in the heat maps or aggregated in each displayed series of the donut and risk breakdown charts to just those that are assigned to "Help Desk Services".</w:t>
            </w:r>
          </w:p>
        </w:tc>
      </w:tr>
    </w:tbl>
    <w:bookmarkEnd w:id="26"/>
    <w:bookmarkStart w:id="32" w:name="Understandingthecharts"/>
    <w:p>
      <w:pPr>
        <w:pStyle w:val="Heading2"/>
      </w:pPr>
      <w:r>
        <w:t xml:space="preserve">Understanding the charts</w:t>
      </w:r>
    </w:p>
    <w:bookmarkStart w:id="27" w:name="AggregatedExpectedLoss"/>
    <w:p>
      <w:pPr>
        <w:pStyle w:val="Heading3"/>
      </w:pPr>
      <w:r>
        <w:t xml:space="preserve">Aggregated Expected Loss</w:t>
      </w:r>
    </w:p>
    <w:p>
      <w:pPr>
        <w:pStyle w:val="FirstParagraph"/>
      </w:pPr>
      <w:r>
        <w:t xml:space="preserve">This donut chart displays your aggregated expected loss based on the filters you selected.</w:t>
      </w:r>
    </w:p>
    <w:p>
      <w:pPr>
        <w:pStyle w:val="BodyText"/>
      </w:pPr>
      <w:r>
        <w:t xml:space="preserve">The series are based on the current comparison level, and the chart displays one donut slice per item in that level.</w:t>
      </w:r>
    </w:p>
    <w:p>
      <w:pPr>
        <w:pStyle w:val="BodyText"/>
      </w:pPr>
      <w:r>
        <w:t xml:space="preserve">The central number shows the aggregation of current donut slices. You can hover on an individual section to show the aggregated value for that individual item.</w:t>
      </w:r>
    </w:p>
    <w:p>
      <w:pPr>
        <w:pStyle w:val="BodyText"/>
      </w:pPr>
      <w:r>
        <w:t xml:space="preserve">To remove a section, click on the corresponding legend item.</w:t>
      </w:r>
    </w:p>
    <w:bookmarkEnd w:id="27"/>
    <w:bookmarkStart w:id="29" w:name="EconomicTotalImpact"/>
    <w:p>
      <w:pPr>
        <w:pStyle w:val="Heading3"/>
      </w:pPr>
      <w:bookmarkStart w:id="28" w:name="Economic"/>
      <w:bookmarkEnd w:id="28"/>
      <w:r>
        <w:t xml:space="preserve">Economic/Total Impact</w:t>
      </w:r>
    </w:p>
    <w:p>
      <w:pPr>
        <w:pStyle w:val="FirstParagraph"/>
      </w:pPr>
      <w:r>
        <w:t xml:space="preserve">This chart displays a heat map of your risks or consequences based on their impact and rate. Each line represents an individual risk or consequence, and the 3 points represent the full, actual, and inherent values for impact and rate. You can hover on an individual line to see the values for each point.</w:t>
      </w:r>
    </w:p>
    <w:p>
      <w:pPr>
        <w:pStyle w:val="BodyText"/>
      </w:pPr>
      <w:r>
        <w:t xml:space="preserve">You can also zoom and pan in the chart. To zoom, use your mouse wheel or pinch or stretch out two fingers on your trackpad. You can also click and draw a rectangle around the section of the chart that you want to zoom to. To pan, press SHIFT and drag the chart. When you are zoomed in, you can hover on contour lines to see the value they represent.</w:t>
      </w:r>
    </w:p>
    <w:p>
      <w:pPr>
        <w:pStyle w:val="BodyText"/>
      </w:pPr>
      <w:r>
        <w:t xml:space="preserve">The scale of the axes is logarithmic, based on the minimum and maximum rates and impacts for the risk event or consequences data. In the</w:t>
      </w:r>
      <w:r>
        <w:t xml:space="preserve"> </w:t>
      </w:r>
      <w:hyperlink r:id="rId24">
        <w:r>
          <w:rPr>
            <w:rStyle w:val="Hyperlink"/>
          </w:rPr>
          <w:t xml:space="preserve">Corporate Global Variables application</w:t>
        </w:r>
      </w:hyperlink>
      <w:r>
        <w:t xml:space="preserve">, you can adjust where the colors change.</w:t>
      </w:r>
    </w:p>
    <w:bookmarkEnd w:id="29"/>
    <w:bookmarkStart w:id="30" w:name="X898809557cef1283946c0dc5372c4d48c90eb4a"/>
    <w:p>
      <w:pPr>
        <w:pStyle w:val="Heading3"/>
      </w:pPr>
      <w:r>
        <w:t xml:space="preserve">Breakdown by Aggregated Expected Loss/Total Impact</w:t>
      </w:r>
    </w:p>
    <w:p>
      <w:pPr>
        <w:pStyle w:val="FirstParagraph"/>
      </w:pPr>
      <w:r>
        <w:t xml:space="preserve">This tree map starts with the top level your current comparison hierarchy to show how your risks break down across items in that hierarchy.</w:t>
      </w:r>
    </w:p>
    <w:p>
      <w:pPr>
        <w:pStyle w:val="BodyText"/>
      </w:pPr>
      <w:r>
        <w:t xml:space="preserve">The size of each tile represents the aggregated expected loss relative to the other items in that level. You can hover on a section to show the aggregated value.</w:t>
      </w:r>
    </w:p>
    <w:p>
      <w:pPr>
        <w:pStyle w:val="BodyText"/>
      </w:pPr>
      <w:r>
        <w:t xml:space="preserve">You can also click on a section to drill down and view the aggregated amounts for that item's immediate children.</w:t>
      </w:r>
    </w:p>
    <w:bookmarkEnd w:id="30"/>
    <w:bookmarkStart w:id="31" w:name="AggregatedLossDistributions"/>
    <w:p>
      <w:pPr>
        <w:pStyle w:val="Heading3"/>
      </w:pPr>
      <w:r>
        <w:t xml:space="preserve">Aggregated Loss Distributions</w:t>
      </w:r>
    </w:p>
    <w:p>
      <w:pPr>
        <w:pStyle w:val="FirstParagraph"/>
      </w:pPr>
      <w:r>
        <w:t xml:space="preserve">This bar chart aggregates VaR and CVaR metrics for the selected comparison hierarchy and level. The VaR and CVaR levels - for example, 5% or 10% - are based on the</w:t>
      </w:r>
      <w:r>
        <w:t xml:space="preserve"> </w:t>
      </w:r>
      <w:hyperlink r:id="rId24">
        <w:r>
          <w:rPr>
            <w:rStyle w:val="Hyperlink"/>
          </w:rPr>
          <w:t xml:space="preserve">setting you defined</w:t>
        </w:r>
      </w:hyperlink>
      <w:r>
        <w:t xml:space="preserve"> </w:t>
      </w:r>
      <w:r>
        <w:t xml:space="preserve">in the Corporate Global Variables application.</w:t>
      </w:r>
    </w:p>
    <w:p>
      <w:pPr>
        <w:pStyle w:val="BodyText"/>
      </w:pPr>
      <w:r>
        <w:t xml:space="preserve">Each bar is a grouping based on the current filters. For example, if your comparison hierarchy is organizational, each series is a company, division, or business Unit. The lower bound of each bar represents the aggregated P10 value and the upper bound represents the aggregated P90 value (assuming you set your VaR/CVaR values to 10%. If you selected 5% instead, for example, the bounds would represent P5 and P95 values). The aggregated P50 value is marked for each bar.</w:t>
      </w:r>
    </w:p>
    <w:p>
      <w:pPr>
        <w:pStyle w:val="BodyText"/>
      </w:pPr>
      <w:r>
        <w:t xml:space="preserve">The expected annual impact is plotted as an upside down triangle. The aggregated CVaR value is plotted as a separate marker for each series.</w:t>
      </w:r>
    </w:p>
    <w:p>
      <w:pPr>
        <w:pStyle w:val="BodyText"/>
      </w:pPr>
      <w:r>
        <w:t xml:space="preserve">This chart allows you to compare all of these aggregated values for entities in your hierarchy. For example, you can compare Business Unit 1 to Business Unit 2 or Fraud Risk to Cyber Risk.</w:t>
      </w:r>
    </w:p>
    <w:bookmarkEnd w:id="31"/>
    <w:bookmarkEnd w:id="32"/>
    <w:bookmarkEnd w:id="33"/>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5" Target="insight_uc_setting_up.htm#Populate" TargetMode="External" /><Relationship Type="http://schemas.openxmlformats.org/officeDocument/2006/relationships/hyperlink" Id="rId24" Target="insight_uc_setting_up.htm#Set2" TargetMode="External" /></Relationships>
</file>

<file path=word/_rels/footnotes.xml.rels><?xml version="1.0" encoding="UTF-8"?><Relationships xmlns="http://schemas.openxmlformats.org/package/2006/relationships"><Relationship Type="http://schemas.openxmlformats.org/officeDocument/2006/relationships/hyperlink" Id="rId25" Target="insight_uc_setting_up.htm#Populate" TargetMode="External" /><Relationship Type="http://schemas.openxmlformats.org/officeDocument/2006/relationships/hyperlink" Id="rId24" Target="insight_uc_setting_up.htm#Set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2025-03-06T14:44:29Z</dcterms:created>
  <dcterms:modified xsi:type="dcterms:W3CDTF">2025-03-06T14:44:29Z</dcterms:modified>
</cp:coreProperties>
</file>

<file path=docProps/custom.xml><?xml version="1.0" encoding="utf-8"?>
<Properties xmlns="http://schemas.openxmlformats.org/officeDocument/2006/custom-properties" xmlns:vt="http://schemas.openxmlformats.org/officeDocument/2006/docPropsVTypes"/>
</file>