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mc-main-content"/>
    <w:bookmarkStart w:id="37" w:name="Xad8dd4d6aac3d9c764e49de3bd1abcb5c7e7b5d"/>
    <w:p>
      <w:pPr>
        <w:pStyle w:val="Heading1"/>
      </w:pPr>
      <w:bookmarkStart w:id="20" w:name="aanchor5"/>
      <w:bookmarkEnd w:id="20"/>
      <w:r>
        <w:t xml:space="preserve"> </w:t>
      </w:r>
      <w:r>
        <w:t xml:space="preserve">Design de caso de uso de gerenciamento do programa de políticas de TI e segurança</w:t>
      </w:r>
    </w:p>
    <w:p>
      <w:pPr>
        <w:pStyle w:val="FirstParagraph"/>
      </w:pPr>
      <w:r>
        <w:t xml:space="preserve">Este tópico explica o design de caso de uso do Gerenciamento do programa de políticas de TI e segurança.</w:t>
      </w:r>
    </w:p>
    <w:p>
      <w:pPr>
        <w:pStyle w:val="BodyText"/>
      </w:pPr>
      <w:r>
        <w:t xml:space="preserve">Nesta página</w:t>
      </w:r>
    </w:p>
    <w:p>
      <w:pPr>
        <w:pStyle w:val="Compact"/>
        <w:numPr>
          <w:ilvl w:val="0"/>
          <w:numId w:val="1001"/>
        </w:numPr>
      </w:pPr>
      <w:hyperlink w:anchor="Diagramadaarquitetura">
        <w:r>
          <w:rPr>
            <w:rStyle w:val="Hyperlink"/>
          </w:rPr>
          <w:t xml:space="preserve">Diagrama da arquitetura</w:t>
        </w:r>
      </w:hyperlink>
    </w:p>
    <w:p>
      <w:pPr>
        <w:pStyle w:val="Compact"/>
        <w:numPr>
          <w:ilvl w:val="0"/>
          <w:numId w:val="1001"/>
        </w:numPr>
      </w:pPr>
      <w:hyperlink w:anchor="Aplicativos">
        <w:r>
          <w:rPr>
            <w:rStyle w:val="Hyperlink"/>
          </w:rPr>
          <w:t xml:space="preserve">Aplicativos</w:t>
        </w:r>
      </w:hyperlink>
    </w:p>
    <w:p>
      <w:pPr>
        <w:pStyle w:val="Compact"/>
        <w:numPr>
          <w:ilvl w:val="0"/>
          <w:numId w:val="1001"/>
        </w:numPr>
      </w:pPr>
      <w:hyperlink w:anchor="Xa9bdac9233b6c432b99b795538546de4bb4a338">
        <w:r>
          <w:rPr>
            <w:rStyle w:val="Hyperlink"/>
          </w:rPr>
          <w:t xml:space="preserve">Funções de acesso e permissões de registro</w:t>
        </w:r>
      </w:hyperlink>
    </w:p>
    <w:p>
      <w:pPr>
        <w:pStyle w:val="Compact"/>
        <w:numPr>
          <w:ilvl w:val="0"/>
          <w:numId w:val="1001"/>
        </w:numPr>
      </w:pPr>
      <w:hyperlink w:anchor="Pain%C3%A9isdecontrole">
        <w:r>
          <w:rPr>
            <w:rStyle w:val="Hyperlink"/>
          </w:rPr>
          <w:t xml:space="preserve">Painéis de controle</w:t>
        </w:r>
      </w:hyperlink>
    </w:p>
    <w:p>
      <w:pPr>
        <w:pStyle w:val="Compact"/>
        <w:numPr>
          <w:ilvl w:val="0"/>
          <w:numId w:val="1001"/>
        </w:numPr>
      </w:pPr>
    </w:p>
    <w:p>
      <w:pPr>
        <w:pStyle w:val="Compact"/>
        <w:numPr>
          <w:ilvl w:val="1"/>
          <w:numId w:val="1002"/>
        </w:numPr>
      </w:pPr>
      <w:hyperlink w:anchor="SemocasodeusodoIssuesManagement">
        <w:r>
          <w:rPr>
            <w:rStyle w:val="Hyperlink"/>
          </w:rPr>
          <w:t xml:space="preserve">Sem o caso de uso do Issues Management</w:t>
        </w:r>
      </w:hyperlink>
    </w:p>
    <w:p>
      <w:pPr>
        <w:pStyle w:val="Compact"/>
        <w:numPr>
          <w:ilvl w:val="1"/>
          <w:numId w:val="1002"/>
        </w:numPr>
      </w:pPr>
      <w:hyperlink w:anchor="SemocasodeusodoKeyIndicatorManagement">
        <w:r>
          <w:rPr>
            <w:rStyle w:val="Hyperlink"/>
          </w:rPr>
          <w:t xml:space="preserve">Sem o caso de uso do Key Indicator Management</w:t>
        </w:r>
      </w:hyperlink>
    </w:p>
    <w:p>
      <w:pPr>
        <w:pStyle w:val="Compact"/>
        <w:numPr>
          <w:ilvl w:val="1"/>
          <w:numId w:val="1002"/>
        </w:numPr>
      </w:pPr>
      <w:hyperlink w:anchor="SemoaplicativoRiscos">
        <w:r>
          <w:rPr>
            <w:rStyle w:val="Hyperlink"/>
          </w:rPr>
          <w:t xml:space="preserve">Sem o aplicativo Riscos</w:t>
        </w:r>
      </w:hyperlink>
    </w:p>
    <w:p>
      <w:pPr>
        <w:pStyle w:val="Compact"/>
        <w:numPr>
          <w:ilvl w:val="0"/>
          <w:numId w:val="1001"/>
        </w:numPr>
      </w:pPr>
      <w:hyperlink w:anchor="Workflowdocasodeuso">
        <w:r>
          <w:rPr>
            <w:rStyle w:val="Hyperlink"/>
          </w:rPr>
          <w:t xml:space="preserve">Workflow do caso de uso</w:t>
        </w:r>
      </w:hyperlink>
    </w:p>
    <w:bookmarkStart w:id="25" w:name="Diagramadaarquitetura"/>
    <w:p>
      <w:pPr>
        <w:pStyle w:val="Heading2"/>
      </w:pPr>
      <w:r>
        <w:t xml:space="preserve">Diagrama da arquitetura</w:t>
      </w:r>
    </w:p>
    <w:p>
      <w:pPr>
        <w:pStyle w:val="FirstParagraph"/>
      </w:pPr>
      <w:r>
        <w:t xml:space="preserve">O diagrama a seguir mostra as relações entre os aplicativos no caso de uso Gerenciamento do programa de políticas de TI e segurança.</w:t>
      </w:r>
    </w:p>
    <w:p>
      <w:pPr>
        <w:pStyle w:val="BodyText"/>
      </w:pPr>
      <w:r>
        <w:t xml:space="preserve">Faça download do arquivo de origem do diagrama aqui:</w:t>
      </w:r>
      <w:r>
        <w:t xml:space="preserve"> </w:t>
      </w:r>
      <w:hyperlink r:id="rId21">
        <w:r>
          <w:rPr>
            <w:rStyle w:val="Hyperlink"/>
          </w:rPr>
          <w:t xml:space="preserve">Diagrama da arquitetura do Gerenciamento do programa de políticas de TI e segurança</w:t>
        </w:r>
      </w:hyperlink>
    </w:p>
    <w:p>
      <w:pPr>
        <w:pStyle w:val="BodyText"/>
      </w:pPr>
      <w:r>
        <w:drawing>
          <wp:inline>
            <wp:extent cx="4629150" cy="3895725"/>
            <wp:effectExtent b="0" l="0" r="0" t="0"/>
            <wp:docPr descr="relações entre os aplicativos no caso de uso de Gerenciamento do programa de políticas de TI e segurança" title="relações entre os aplicativos no caso de uso de Gerenciamento do programa de políticas de TI e segurança" id="23" name="Picture"/>
            <a:graphic>
              <a:graphicData uri="http://schemas.openxmlformats.org/drawingml/2006/picture">
                <pic:pic>
                  <pic:nvPicPr>
                    <pic:cNvPr descr="C:/Users/samue/WebScrapper/HelpArcher-to-pdf/images/2704ac0ff73b9b2b80c0beff0fd7d41c.png" id="24" name="Picture"/>
                    <pic:cNvPicPr>
                      <a:picLocks noChangeArrowheads="1" noChangeAspect="1"/>
                    </pic:cNvPicPr>
                  </pic:nvPicPr>
                  <pic:blipFill>
                    <a:blip r:embed="rId22"/>
                    <a:stretch>
                      <a:fillRect/>
                    </a:stretch>
                  </pic:blipFill>
                  <pic:spPr bwMode="auto">
                    <a:xfrm>
                      <a:off x="0" y="0"/>
                      <a:ext cx="4629150" cy="3895725"/>
                    </a:xfrm>
                    <a:prstGeom prst="rect">
                      <a:avLst/>
                    </a:prstGeom>
                    <a:noFill/>
                    <a:ln w="9525">
                      <a:noFill/>
                      <a:headEnd/>
                      <a:tailEnd/>
                    </a:ln>
                  </pic:spPr>
                </pic:pic>
              </a:graphicData>
            </a:graphic>
          </wp:inline>
        </w:drawing>
      </w:r>
    </w:p>
    <w:bookmarkEnd w:id="25"/>
    <w:bookmarkStart w:id="26" w:name="Aplicativos"/>
    <w:p>
      <w:pPr>
        <w:pStyle w:val="Heading2"/>
      </w:pPr>
      <w:r>
        <w:t xml:space="preserve">Aplicativos</w:t>
      </w:r>
    </w:p>
    <w:p>
      <w:pPr>
        <w:pStyle w:val="TableCaption"/>
      </w:pPr>
      <w:r>
        <w:t xml:space="preserve">A tabela a seguir descreve os aplicativos de casos de uso.</w:t>
      </w:r>
    </w:p>
    <w:tbl>
      <w:tblPr>
        <w:tblStyle w:val="Table"/>
        <w:tblW w:type="auto" w:w="0"/>
        <w:tblLook w:firstRow="1" w:lastRow="0" w:firstColumn="0" w:lastColumn="0" w:noHBand="0" w:noVBand="0" w:val="0020"/>
        <w:tblCaption w:val="A tabela a seguir descreve os aplicativos de casos de uso."/>
      </w:tblPr>
      <w:tblGrid>
        <w:gridCol w:w="3960"/>
        <w:gridCol w:w="3960"/>
      </w:tblGrid>
      <w:tr>
        <w:trPr>
          <w:tblHeader w:val="on"/>
        </w:trPr>
        <w:tc>
          <w:tcPr/>
          <w:p>
            <w:pPr>
              <w:pStyle w:val="BodyText"/>
            </w:pPr>
            <w:r>
              <w:t xml:space="preserve">Aplicativo</w:t>
            </w:r>
          </w:p>
        </w:tc>
        <w:tc>
          <w:tcPr/>
          <w:p>
            <w:pPr>
              <w:pStyle w:val="BodyText"/>
            </w:pPr>
            <w:r>
              <w:t xml:space="preserve">Descrição</w:t>
            </w:r>
          </w:p>
        </w:tc>
      </w:tr>
      <w:tr>
        <w:tc>
          <w:tcPr/>
          <w:p>
            <w:pPr>
              <w:pStyle w:val="BodyText"/>
            </w:pPr>
            <w:r>
              <w:t xml:space="preserve">Políticas</w:t>
            </w:r>
          </w:p>
        </w:tc>
        <w:tc>
          <w:tcPr/>
          <w:p>
            <w:pPr>
              <w:pStyle w:val="BodyText"/>
            </w:pPr>
            <w:r>
              <w:t xml:space="preserve">O aplicativo Políticas permite centralizar o conteúdo da política corporativa, gerenciar o processo de revisão e aprovação, e oferece políticas aos usuários finais com base em suas funções de trabalho. Além disso, oferece uma estrutura de práticas recomendadas para criação, normalização e racionalização do conteúdo da política com base nos objetivos corporativos e nas fontes confiáveis que regem seus negócios. Todos os funcionários de uma organização normalmente usam esse aplicativo.</w:t>
            </w:r>
          </w:p>
          <w:p>
            <w:pPr>
              <w:pStyle w:val="BodyText"/>
            </w:pPr>
            <w:r>
              <w:t xml:space="preserve">As políticas são definidas como instruções de gerenciamento indicando um curso de ação a ser executado ou uma linha diretriz a ser seguida. Elas são normalmente apresentadas como declarações de alto nível, que oferecem orientação aos usuários finais que deverão tomar decisões presentes e futuras.</w:t>
            </w:r>
          </w:p>
        </w:tc>
      </w:tr>
      <w:tr>
        <w:tc>
          <w:tcPr/>
          <w:p>
            <w:pPr>
              <w:pStyle w:val="BodyText"/>
            </w:pPr>
            <w:r>
              <w:t xml:space="preserve">Solicitações de alteração</w:t>
            </w:r>
          </w:p>
        </w:tc>
        <w:tc>
          <w:tcPr/>
          <w:p>
            <w:pPr>
              <w:pStyle w:val="BodyText"/>
            </w:pPr>
            <w:r>
              <w:t xml:space="preserve">O aplicativo Solicitações de alteração permite que os usuários recomendem alterações em políticas, padrões de controle, procedimentos de controle, narrativas de processos, repositório de evidências, plano de remediação e permite extensões da solicitação de exceção, com base em análises de avaliações de ameaças, notícias normativas e problemas encontrados durante o processo de auditoria, conformidade e gerenciamento de riscos.</w:t>
            </w:r>
          </w:p>
        </w:tc>
      </w:tr>
      <w:tr>
        <w:tc>
          <w:tcPr/>
          <w:p>
            <w:pPr>
              <w:pStyle w:val="BodyText"/>
            </w:pPr>
            <w:r>
              <w:t xml:space="preserve">Fontes autoritativas</w:t>
            </w:r>
          </w:p>
        </w:tc>
        <w:tc>
          <w:tcPr/>
          <w:p>
            <w:pPr>
              <w:pStyle w:val="BodyText"/>
            </w:pPr>
            <w:r>
              <w:t xml:space="preserve">O aplicativo Fontes de autoria permite que você gerencie, de modo centralizado, padrões, normas, leis e requisitos e os associe às políticas e aos padrões de controle para fins de racionalização. O repositório de fontes confiáveis proporciona uma compreensão significativa dos aspectos que guiam e governam seus negócios, além de permitir que você formule apropriadamente políticas que ajudam a demonstrar a conformidade regulamentar.</w:t>
            </w:r>
          </w:p>
        </w:tc>
      </w:tr>
      <w:tr>
        <w:tc>
          <w:tcPr/>
          <w:p>
            <w:pPr>
              <w:pStyle w:val="BodyText"/>
            </w:pPr>
            <w:r>
              <w:t xml:space="preserve">Objetivos corporativos</w:t>
            </w:r>
          </w:p>
        </w:tc>
        <w:tc>
          <w:tcPr/>
          <w:p>
            <w:pPr>
              <w:pStyle w:val="BodyText"/>
            </w:pPr>
            <w:r>
              <w:t xml:space="preserve">O aplicativo Objetivos corporativos rastreia objetivos estratégicos, operacionais, de conformidade e de geração de relatórios na medida em que eles se relacionam a políticas e riscos da empresa. Os indicadores-chave de desempenho permitem que a corporação monitore o andamento desses objetivos.</w:t>
            </w:r>
          </w:p>
        </w:tc>
      </w:tr>
      <w:tr>
        <w:tc>
          <w:tcPr/>
          <w:p>
            <w:pPr>
              <w:pStyle w:val="BodyText"/>
            </w:pPr>
            <w:r>
              <w:t xml:space="preserve">Padrões de controle</w:t>
            </w:r>
          </w:p>
        </w:tc>
        <w:tc>
          <w:tcPr/>
          <w:p>
            <w:pPr>
              <w:pStyle w:val="BodyText"/>
            </w:pPr>
            <w:r>
              <w:t xml:space="preserve">O aplicativo Padrões de controle atua como repositório central para criar e exibir padrões corporativos associados a políticas, fontes de autoria e procedimentos de controle. Você também pode avaliar a relevância dos padrões de controle com base nos objetivos e nas normas aos quais eles dão suporte e em qualquer ponto negativo do controle que já seja conhecido. Além disso, o aplicativo apresenta uma classificação de conformidade geral para cada padrão de controle com base nos testes executados nos procedimentos de controle relacionados.</w:t>
            </w:r>
          </w:p>
        </w:tc>
      </w:tr>
      <w:tr>
        <w:tc>
          <w:tcPr/>
          <w:p>
            <w:pPr>
              <w:pStyle w:val="BodyText"/>
            </w:pPr>
            <w:r>
              <w:t xml:space="preserve">Processos de negócios</w:t>
            </w:r>
          </w:p>
        </w:tc>
        <w:tc>
          <w:tcPr/>
          <w:p>
            <w:pPr>
              <w:pStyle w:val="BodyText"/>
            </w:pPr>
            <w:r>
              <w:t xml:space="preserve">O aplicativo Processos de negócio captura os dados básicos de um determinado processo. É possível atribuir um processo a uma unidade de negócios específica ou compartilhá-lo entre várias unidades de negócios. Um processo de negócios também pode ser referenciado para um ou vários produtos ou serviços. O aplicativo permite rastrear a equipe dos processos de negócios, a relevância, o RTO (Recovery Time Objective, objetivo de tempo de recuperação) e a categoria de ITIL, e associar tudo isso a outros aspectos da infraestrutura corporativa.</w:t>
            </w:r>
          </w:p>
          <w:p>
            <w:pPr>
              <w:pStyle w:val="BodyText"/>
            </w:pPr>
            <w:r>
              <w:rPr>
                <w:b/>
                <w:bCs/>
              </w:rPr>
              <w:t xml:space="preserve">Observação:</w:t>
            </w:r>
            <w:r>
              <w:t xml:space="preserve"> </w:t>
            </w:r>
            <w:r>
              <w:t xml:space="preserve">o aplicativo Processos de negócios está incluído no pacote Catálogo corporativo.</w:t>
            </w:r>
          </w:p>
        </w:tc>
      </w:tr>
      <w:tr>
        <w:tc>
          <w:tcPr/>
          <w:p>
            <w:pPr>
              <w:pStyle w:val="BodyText"/>
            </w:pPr>
            <w:r>
              <w:t xml:space="preserve">Contatos</w:t>
            </w:r>
          </w:p>
        </w:tc>
        <w:tc>
          <w:tcPr/>
          <w:p>
            <w:pPr>
              <w:pStyle w:val="BodyText"/>
            </w:pPr>
            <w:r>
              <w:t xml:space="preserve">O aplicativo Contatos serve como um repositório central para informações de contato, é utilizado em várias áreas do</w:t>
            </w:r>
            <w:r>
              <w:t xml:space="preserve"> </w:t>
            </w:r>
            <w:r>
              <w:t xml:space="preserve">Archer</w:t>
            </w:r>
            <w:r>
              <w:t xml:space="preserve"> </w:t>
            </w:r>
            <w:r>
              <w:t xml:space="preserve">e contém informações que são frequentemente utilizadas por outros casos de uso. As atualizações realizadas em um registro de perfil nesse aplicativo se propagam automaticamente para todos os registros com informações de contato exibidas.</w:t>
            </w:r>
          </w:p>
          <w:p>
            <w:pPr>
              <w:pStyle w:val="BodyText"/>
            </w:pPr>
            <w:r>
              <w:rPr>
                <w:b/>
                <w:bCs/>
              </w:rPr>
              <w:t xml:space="preserve">Observação:</w:t>
            </w:r>
            <w:r>
              <w:t xml:space="preserve"> </w:t>
            </w:r>
            <w:r>
              <w:t xml:space="preserve">o aplicativo Contatos está incluído no pacote Catálogo corporativo.</w:t>
            </w:r>
          </w:p>
        </w:tc>
      </w:tr>
      <w:tr>
        <w:tc>
          <w:tcPr/>
          <w:p>
            <w:pPr>
              <w:pStyle w:val="BodyText"/>
            </w:pPr>
            <w:r>
              <w:t xml:space="preserve">Unidade de negócios</w:t>
            </w:r>
          </w:p>
        </w:tc>
        <w:tc>
          <w:tcPr/>
          <w:p>
            <w:pPr>
              <w:pStyle w:val="BodyText"/>
            </w:pPr>
            <w:r>
              <w:t xml:space="preserve">O aplicativo Unidade de negócios apresenta uma visão detalhada de todas as atividades relacionadas a uma unidade de negócios específica.</w:t>
            </w:r>
          </w:p>
          <w:p>
            <w:pPr>
              <w:pStyle w:val="BodyText"/>
            </w:pPr>
            <w:r>
              <w:rPr>
                <w:b/>
                <w:bCs/>
              </w:rPr>
              <w:t xml:space="preserve">Observação:</w:t>
            </w:r>
            <w:r>
              <w:t xml:space="preserve"> </w:t>
            </w:r>
            <w:r>
              <w:t xml:space="preserve">o aplicativo Unidade de negócios está incluído no pacote Catálogo corporativo.</w:t>
            </w:r>
          </w:p>
        </w:tc>
      </w:tr>
      <w:tr>
        <w:tc>
          <w:tcPr/>
          <w:p>
            <w:pPr>
              <w:pStyle w:val="BodyText"/>
            </w:pPr>
            <w:r>
              <w:t xml:space="preserve">Empresa</w:t>
            </w:r>
          </w:p>
        </w:tc>
        <w:tc>
          <w:tcPr/>
          <w:p>
            <w:pPr>
              <w:pStyle w:val="BodyText"/>
            </w:pPr>
            <w:r>
              <w:t xml:space="preserve">O aplicativo Empresa armazena informações gerais, financeiras e de conformidade de uma empresa. Combinado com os aplicativos Divisão e Unidade de negócios, esse aplicativo oferece suporte à geração de relatórios cumulativos sobre iniciativas de governança, riscos e conformidade em toda a empresa.</w:t>
            </w:r>
          </w:p>
          <w:p>
            <w:pPr>
              <w:pStyle w:val="BodyText"/>
            </w:pPr>
            <w:r>
              <w:rPr>
                <w:b/>
                <w:bCs/>
              </w:rPr>
              <w:t xml:space="preserve">Observação:</w:t>
            </w:r>
            <w:r>
              <w:t xml:space="preserve"> </w:t>
            </w:r>
            <w:r>
              <w:t xml:space="preserve">o aplicativo Empresa está incluído no pacote Catálogo corporativo.</w:t>
            </w:r>
          </w:p>
        </w:tc>
      </w:tr>
      <w:tr>
        <w:tc>
          <w:tcPr/>
          <w:p>
            <w:pPr>
              <w:pStyle w:val="BodyText"/>
            </w:pPr>
            <w:r>
              <w:t xml:space="preserve">Divisão</w:t>
            </w:r>
          </w:p>
        </w:tc>
        <w:tc>
          <w:tcPr/>
          <w:p>
            <w:pPr>
              <w:pStyle w:val="BodyText"/>
            </w:pPr>
            <w:r>
              <w:t xml:space="preserve">O aplicativo Divisão representa a unidade intermediária na hierarquia de negócios que está um nível abaixo da empresa e um nível acima da unidade de negócios individual. Use esse aplicativo para documentar melhor os relacionamentos em seus negócios e avaliar a eficiência e a conformidade das divisões individuais da empresa.</w:t>
            </w:r>
          </w:p>
          <w:p>
            <w:pPr>
              <w:pStyle w:val="BodyText"/>
            </w:pPr>
            <w:r>
              <w:rPr>
                <w:b/>
                <w:bCs/>
              </w:rPr>
              <w:t xml:space="preserve">Observação:</w:t>
            </w:r>
            <w:r>
              <w:t xml:space="preserve"> </w:t>
            </w:r>
            <w:r>
              <w:t xml:space="preserve">o aplicativo Divisão está incluído no pacote Catálogo corporativo.</w:t>
            </w:r>
          </w:p>
        </w:tc>
      </w:tr>
    </w:tbl>
    <w:bookmarkEnd w:id="26"/>
    <w:bookmarkStart w:id="27" w:name="Funçõesdeacessoepermissõesderegistro"/>
    <w:p>
      <w:pPr>
        <w:pStyle w:val="Heading2"/>
      </w:pPr>
      <w:r>
        <w:t xml:space="preserve">Funções de acesso e permissões de registro</w:t>
      </w:r>
    </w:p>
    <w:p>
      <w:pPr>
        <w:pStyle w:val="TableCaption"/>
      </w:pPr>
      <w:r>
        <w:t xml:space="preserve">A tabela a seguir descreve as funções de acesso de casos de uso.</w:t>
      </w:r>
    </w:p>
    <w:tbl>
      <w:tblPr>
        <w:tblStyle w:val="Table"/>
        <w:tblW w:type="auto" w:w="0"/>
        <w:tblLook w:firstRow="1" w:lastRow="0" w:firstColumn="0" w:lastColumn="0" w:noHBand="0" w:noVBand="0" w:val="0020"/>
        <w:tblCaption w:val="A tabela a seguir descreve as funções de acesso de casos de uso."/>
      </w:tblPr>
      <w:tblGrid>
        <w:gridCol w:w="3960"/>
        <w:gridCol w:w="3960"/>
      </w:tblGrid>
      <w:tr>
        <w:trPr>
          <w:tblHeader w:val="on"/>
        </w:trPr>
        <w:tc>
          <w:tcPr/>
          <w:p>
            <w:pPr>
              <w:pStyle w:val="BodyText"/>
            </w:pPr>
            <w:r>
              <w:t xml:space="preserve">Função de acesso</w:t>
            </w:r>
          </w:p>
        </w:tc>
        <w:tc>
          <w:tcPr/>
          <w:p>
            <w:pPr>
              <w:pStyle w:val="BodyText"/>
            </w:pPr>
            <w:r>
              <w:t xml:space="preserve">Descrição</w:t>
            </w:r>
          </w:p>
        </w:tc>
      </w:tr>
      <w:tr>
        <w:tc>
          <w:tcPr/>
          <w:p>
            <w:pPr>
              <w:pStyle w:val="BodyText"/>
            </w:pPr>
            <w:r>
              <w:t xml:space="preserve">PM: Administrador</w:t>
            </w:r>
          </w:p>
        </w:tc>
        <w:tc>
          <w:tcPr/>
          <w:p>
            <w:pPr>
              <w:pStyle w:val="BodyText"/>
            </w:pPr>
            <w:r>
              <w:t xml:space="preserve">Esta função serve como o administrador do caso de uso.</w:t>
            </w:r>
          </w:p>
        </w:tc>
      </w:tr>
      <w:tr>
        <w:tc>
          <w:tcPr/>
          <w:p>
            <w:pPr>
              <w:pStyle w:val="BodyText"/>
            </w:pPr>
            <w:r>
              <w:t xml:space="preserve">PM: Revisão gerencial</w:t>
            </w:r>
          </w:p>
        </w:tc>
        <w:tc>
          <w:tcPr/>
          <w:p>
            <w:pPr>
              <w:pStyle w:val="BodyText"/>
            </w:pPr>
            <w:r>
              <w:t xml:space="preserve">Esta função fornece acesso de criação, leitura e atualização a Políticas, Padrões de controle, Fontes Autoritativas, Solicitação de alteração, Descobertas, Controles primários, Procedimentos de controle, Biblioteca de perguntas e Objetivos corporativos.</w:t>
            </w:r>
          </w:p>
          <w:p>
            <w:pPr>
              <w:pStyle w:val="BodyText"/>
            </w:pPr>
            <w:r>
              <w:t xml:space="preserve">Ela também fornece aos revisores acesso para criação, leitura e atualização no aplicativo Solicitações de exceção durante o processo de solicitação de exceção.</w:t>
            </w:r>
          </w:p>
        </w:tc>
      </w:tr>
      <w:tr>
        <w:tc>
          <w:tcPr/>
          <w:p>
            <w:pPr>
              <w:pStyle w:val="BodyText"/>
            </w:pPr>
            <w:r>
              <w:t xml:space="preserve">PM: Gerente</w:t>
            </w:r>
          </w:p>
        </w:tc>
        <w:tc>
          <w:tcPr/>
          <w:p>
            <w:pPr>
              <w:pStyle w:val="BodyText"/>
            </w:pPr>
            <w:r>
              <w:t xml:space="preserve">Esta função fornece aos gerentes acesso para criação, leitura e atualização.</w:t>
            </w:r>
          </w:p>
        </w:tc>
      </w:tr>
      <w:tr>
        <w:tc>
          <w:tcPr/>
          <w:p>
            <w:pPr>
              <w:pStyle w:val="BodyText"/>
            </w:pPr>
            <w:r>
              <w:t xml:space="preserve">PM: Responsável</w:t>
            </w:r>
          </w:p>
        </w:tc>
        <w:tc>
          <w:tcPr/>
          <w:p>
            <w:pPr>
              <w:pStyle w:val="BodyText"/>
            </w:pPr>
            <w:r>
              <w:t xml:space="preserve">Esta função fornece aos responsáveis pelos processos de negócios acesso para criação, leitura e atualização.</w:t>
            </w:r>
          </w:p>
        </w:tc>
      </w:tr>
      <w:tr>
        <w:tc>
          <w:tcPr/>
          <w:p>
            <w:pPr>
              <w:pStyle w:val="BodyText"/>
            </w:pPr>
            <w:r>
              <w:t xml:space="preserve">PM: Somente leitura</w:t>
            </w:r>
          </w:p>
        </w:tc>
        <w:tc>
          <w:tcPr/>
          <w:p>
            <w:pPr>
              <w:pStyle w:val="BodyText"/>
            </w:pPr>
            <w:r>
              <w:t xml:space="preserve">Esta função fornece acesso para leitura nos aplicativos Políticas, Padrões de controle, Procedimentos de controle, Origens confiáveis e Objetivos corporativos.</w:t>
            </w:r>
          </w:p>
        </w:tc>
      </w:tr>
    </w:tbl>
    <w:p>
      <w:pPr>
        <w:pStyle w:val="BodyText"/>
      </w:pPr>
      <w:r>
        <w:rPr>
          <w:b/>
          <w:bCs/>
        </w:rPr>
        <w:t xml:space="preserve">Observação:</w:t>
      </w:r>
      <w:r>
        <w:t xml:space="preserve"> </w:t>
      </w:r>
      <w:r>
        <w:t xml:space="preserve">para conhecer os direitos de acesso detalhados no nível da página, consulte o</w:t>
      </w:r>
      <w:r>
        <w:t xml:space="preserve"> </w:t>
      </w:r>
      <w:r>
        <w:rPr>
          <w:i/>
          <w:iCs/>
        </w:rPr>
        <w:t xml:space="preserve">Dicionário de dados</w:t>
      </w:r>
      <w:r>
        <w:t xml:space="preserve">.</w:t>
      </w:r>
    </w:p>
    <w:p>
      <w:pPr>
        <w:pStyle w:val="TableCaption"/>
      </w:pPr>
      <w:r>
        <w:t xml:space="preserve">A tabela a seguir descreve as funções (campos) específicas dos aplicativos do Gerenciamento do programa de políticas de TI e segurança. Esses campos podem corresponder a diferentes membros da equipe, dependendo da natureza real das políticas ou dos padrões. Como parte do processo de implementação, essas funções devem ser designadas.</w:t>
      </w:r>
    </w:p>
    <w:tbl>
      <w:tblPr>
        <w:tblStyle w:val="Table"/>
        <w:tblW w:type="auto" w:w="0"/>
        <w:tblLook w:firstRow="1" w:lastRow="0" w:firstColumn="0" w:lastColumn="0" w:noHBand="0" w:noVBand="0" w:val="0020"/>
        <w:tblCaption w:val="A tabela a seguir descreve as funções (campos) específicas dos aplicativos do Gerenciamento do programa de políticas de TI e segurança. Esses campos podem corresponder a diferentes membros da equipe, dependendo da natureza real das políticas ou dos padrões. Como parte do processo de implementação, essas funções devem ser designadas."/>
      </w:tblPr>
      <w:tblGrid>
        <w:gridCol w:w="3960"/>
        <w:gridCol w:w="3960"/>
      </w:tblGrid>
      <w:tr>
        <w:trPr>
          <w:tblHeader w:val="on"/>
        </w:trPr>
        <w:tc>
          <w:tcPr/>
          <w:p>
            <w:pPr>
              <w:pStyle w:val="BodyText"/>
            </w:pPr>
            <w:r>
              <w:t xml:space="preserve">Função</w:t>
            </w:r>
          </w:p>
        </w:tc>
        <w:tc>
          <w:tcPr/>
          <w:p>
            <w:pPr>
              <w:pStyle w:val="BodyText"/>
            </w:pPr>
            <w:r>
              <w:t xml:space="preserve">Descrição</w:t>
            </w:r>
          </w:p>
        </w:tc>
      </w:tr>
      <w:tr>
        <w:tc>
          <w:tcPr/>
          <w:p>
            <w:pPr>
              <w:pStyle w:val="BodyText"/>
            </w:pPr>
            <w:r>
              <w:t xml:space="preserve">Aprovador</w:t>
            </w:r>
          </w:p>
        </w:tc>
        <w:tc>
          <w:tcPr/>
          <w:p>
            <w:pPr>
              <w:pStyle w:val="BodyText"/>
            </w:pPr>
            <w:r>
              <w:t xml:space="preserve">Usado para analisar políticas e padrões de controle, criar solicitações de alteração e rastrear solicitações de exceção (se o Gerenciamento de problemas estiver licenciado).</w:t>
            </w:r>
          </w:p>
        </w:tc>
      </w:tr>
      <w:tr>
        <w:tc>
          <w:tcPr/>
          <w:p>
            <w:pPr>
              <w:pStyle w:val="BodyText"/>
            </w:pPr>
            <w:r>
              <w:t xml:space="preserve">Proprietário</w:t>
            </w:r>
          </w:p>
        </w:tc>
        <w:tc>
          <w:tcPr/>
          <w:p>
            <w:pPr>
              <w:pStyle w:val="BodyText"/>
            </w:pPr>
            <w:r>
              <w:t xml:space="preserve">Usada para criar, ler e atualizar políticas corporativas, padrões de controle, fontes autoritativas e informações regulamentares.</w:t>
            </w:r>
          </w:p>
        </w:tc>
      </w:tr>
    </w:tbl>
    <w:bookmarkEnd w:id="27"/>
    <w:bookmarkStart w:id="31" w:name="Painéisdecontrole"/>
    <w:p>
      <w:pPr>
        <w:pStyle w:val="Heading2"/>
      </w:pPr>
      <w:r>
        <w:t xml:space="preserve">Painéis de controle</w:t>
      </w:r>
    </w:p>
    <w:p>
      <w:pPr>
        <w:pStyle w:val="TableCaption"/>
      </w:pPr>
      <w:r>
        <w:t xml:space="preserve">A tabela a seguir descreve os painéis de controle do caso de uso.</w:t>
      </w:r>
    </w:p>
    <w:tbl>
      <w:tblPr>
        <w:tblStyle w:val="Table"/>
        <w:tblW w:type="auto" w:w="0"/>
        <w:tblLook w:firstRow="1" w:lastRow="0" w:firstColumn="0" w:lastColumn="0" w:noHBand="0" w:noVBand="0" w:val="0020"/>
        <w:tblCaption w:val="A tabela a seguir descreve os painéis de controle do caso de uso."/>
      </w:tblPr>
      <w:tblGrid>
        <w:gridCol w:w="3960"/>
        <w:gridCol w:w="3960"/>
      </w:tblGrid>
      <w:tr>
        <w:trPr>
          <w:tblHeader w:val="on"/>
        </w:trPr>
        <w:tc>
          <w:tcPr/>
          <w:p>
            <w:pPr>
              <w:pStyle w:val="BodyText"/>
            </w:pPr>
            <w:r>
              <w:t xml:space="preserve">Painel de controle</w:t>
            </w:r>
          </w:p>
        </w:tc>
        <w:tc>
          <w:tcPr/>
          <w:p>
            <w:pPr>
              <w:pStyle w:val="BodyText"/>
            </w:pPr>
            <w:r>
              <w:t xml:space="preserve">Descrição</w:t>
            </w:r>
          </w:p>
        </w:tc>
      </w:tr>
      <w:tr>
        <w:tc>
          <w:tcPr/>
          <w:p>
            <w:pPr>
              <w:pStyle w:val="BodyText"/>
            </w:pPr>
            <w:r>
              <w:t xml:space="preserve">Portal de política</w:t>
            </w:r>
          </w:p>
        </w:tc>
        <w:tc>
          <w:tcPr/>
          <w:p>
            <w:pPr>
              <w:pStyle w:val="BodyText"/>
            </w:pPr>
            <w:r>
              <w:t xml:space="preserve">Este painel de controle fornece gráficos e links rápidos relacionados ao gerenciamento de políticas.</w:t>
            </w:r>
          </w:p>
        </w:tc>
      </w:tr>
      <w:tr>
        <w:tc>
          <w:tcPr/>
          <w:p>
            <w:pPr>
              <w:pStyle w:val="BodyText"/>
            </w:pPr>
            <w:r>
              <w:t xml:space="preserve">Portal de governança</w:t>
            </w:r>
          </w:p>
        </w:tc>
        <w:tc>
          <w:tcPr/>
          <w:p>
            <w:pPr>
              <w:pStyle w:val="BodyText"/>
            </w:pPr>
            <w:r>
              <w:t xml:space="preserve">Este painel de controle ajuda a controlar as atividades de gerenciamento do programa de políticas. Para este painel de controle, é necessária uma licença do Issues Management.</w:t>
            </w:r>
          </w:p>
        </w:tc>
      </w:tr>
    </w:tbl>
    <w:p>
      <w:pPr>
        <w:pStyle w:val="BodyText"/>
      </w:pPr>
      <w:r>
        <w:t xml:space="preserve">As tabelas a seguir descrevem as limitações dos relatórios para cada painel de controle neste caso de uso.</w:t>
      </w:r>
    </w:p>
    <w:bookmarkStart w:id="28" w:name="SemocasodeusodoIssuesManagement"/>
    <w:p>
      <w:pPr>
        <w:pStyle w:val="Heading3"/>
      </w:pPr>
      <w:r>
        <w:t xml:space="preserve">Sem o caso de uso do Issues Management</w:t>
      </w:r>
    </w:p>
    <w:p>
      <w:pPr>
        <w:pStyle w:val="TableCaption"/>
      </w:pPr>
      <w:r>
        <w:t xml:space="preserve">A tabela a seguir descreve as limitações dos relatórios de ambos os painéis de controle sem o caso de uso do Issues Management licenciado.</w:t>
      </w:r>
    </w:p>
    <w:tbl>
      <w:tblPr>
        <w:tblStyle w:val="Table"/>
        <w:tblW w:type="auto" w:w="0"/>
        <w:tblLook w:firstRow="1" w:lastRow="0" w:firstColumn="0" w:lastColumn="0" w:noHBand="0" w:noVBand="0" w:val="0020"/>
        <w:tblCaption w:val="A tabela a seguir descreve as limitações dos relatórios de ambos os painéis de controle sem o caso de uso do Issues Management licenciado."/>
      </w:tblPr>
      <w:tblGrid>
        <w:gridCol w:w="3960"/>
        <w:gridCol w:w="3960"/>
      </w:tblGrid>
      <w:tr>
        <w:trPr>
          <w:tblHeader w:val="on"/>
        </w:trPr>
        <w:tc>
          <w:tcPr/>
          <w:p>
            <w:pPr>
              <w:pStyle w:val="BodyText"/>
            </w:pPr>
            <w:r>
              <w:t xml:space="preserve">iView</w:t>
            </w:r>
          </w:p>
        </w:tc>
        <w:tc>
          <w:tcPr/>
          <w:p>
            <w:pPr>
              <w:pStyle w:val="BodyText"/>
            </w:pPr>
            <w:r>
              <w:t xml:space="preserve">Limitações de geração de relatórios de caso de uso</w:t>
            </w:r>
          </w:p>
        </w:tc>
      </w:tr>
      <w:tr>
        <w:tc>
          <w:tcPr/>
          <w:p>
            <w:pPr>
              <w:pStyle w:val="BodyText"/>
            </w:pPr>
            <w:r>
              <w:t xml:space="preserve">Violações de política</w:t>
            </w:r>
          </w:p>
        </w:tc>
        <w:tc>
          <w:tcPr/>
          <w:p>
            <w:pPr>
              <w:pStyle w:val="BodyText"/>
            </w:pPr>
            <w:r>
              <w:t xml:space="preserve">O relatório é inválido.</w:t>
            </w:r>
          </w:p>
        </w:tc>
      </w:tr>
      <w:tr>
        <w:tc>
          <w:tcPr/>
          <w:p>
            <w:pPr>
              <w:pStyle w:val="BodyText"/>
            </w:pPr>
            <w:r>
              <w:t xml:space="preserve">Exceções da política</w:t>
            </w:r>
          </w:p>
        </w:tc>
        <w:tc>
          <w:tcPr/>
          <w:p>
            <w:pPr>
              <w:pStyle w:val="BodyText"/>
            </w:pPr>
            <w:r>
              <w:t xml:space="preserve">O relatório é inválido.</w:t>
            </w:r>
          </w:p>
        </w:tc>
      </w:tr>
      <w:tr>
        <w:tc>
          <w:tcPr/>
          <w:p>
            <w:pPr>
              <w:pStyle w:val="BodyText"/>
            </w:pPr>
            <w:r>
              <w:t xml:space="preserve">Resultados de política em aberto</w:t>
            </w:r>
          </w:p>
        </w:tc>
        <w:tc>
          <w:tcPr/>
          <w:p>
            <w:pPr>
              <w:pStyle w:val="BodyText"/>
            </w:pPr>
            <w:r>
              <w:t xml:space="preserve">O relatório é inválido.</w:t>
            </w:r>
          </w:p>
        </w:tc>
      </w:tr>
      <w:tr>
        <w:tc>
          <w:tcPr/>
          <w:p>
            <w:pPr>
              <w:pStyle w:val="BodyText"/>
            </w:pPr>
            <w:r>
              <w:t xml:space="preserve">Exceções expiradas</w:t>
            </w:r>
          </w:p>
        </w:tc>
        <w:tc>
          <w:tcPr/>
          <w:p>
            <w:pPr>
              <w:pStyle w:val="BodyText"/>
            </w:pPr>
            <w:r>
              <w:t xml:space="preserve">O relatório é inválido.</w:t>
            </w:r>
          </w:p>
        </w:tc>
      </w:tr>
      <w:tr>
        <w:tc>
          <w:tcPr/>
          <w:p>
            <w:pPr>
              <w:pStyle w:val="BodyText"/>
            </w:pPr>
            <w:r>
              <w:t xml:space="preserve">Resumo de exceções</w:t>
            </w:r>
          </w:p>
        </w:tc>
        <w:tc>
          <w:tcPr/>
          <w:p>
            <w:pPr>
              <w:pStyle w:val="BodyText"/>
            </w:pPr>
            <w:r>
              <w:t xml:space="preserve">O relatório é inválido.</w:t>
            </w:r>
          </w:p>
        </w:tc>
      </w:tr>
    </w:tbl>
    <w:bookmarkEnd w:id="28"/>
    <w:bookmarkStart w:id="29" w:name="SemocasodeusodoKeyIndicatorManagement"/>
    <w:p>
      <w:pPr>
        <w:pStyle w:val="Heading3"/>
      </w:pPr>
      <w:r>
        <w:t xml:space="preserve">Sem o caso de uso do Key Indicator Management</w:t>
      </w:r>
    </w:p>
    <w:p>
      <w:pPr>
        <w:pStyle w:val="TableCaption"/>
      </w:pPr>
      <w:r>
        <w:t xml:space="preserve">A tabela a seguir descreve as limitações dos relatórios do painel de controle do Portal de Governança sem o caso de uso do Key Indicator Management licenciado.</w:t>
      </w:r>
    </w:p>
    <w:tbl>
      <w:tblPr>
        <w:tblStyle w:val="Table"/>
        <w:tblW w:type="auto" w:w="0"/>
        <w:tblLook w:firstRow="1" w:lastRow="0" w:firstColumn="0" w:lastColumn="0" w:noHBand="0" w:noVBand="0" w:val="0020"/>
        <w:tblCaption w:val="A tabela a seguir descreve as limitações dos relatórios do painel de controle do Portal de Governança sem o caso de uso do Key Indicator Management licenciado."/>
      </w:tblPr>
      <w:tblGrid>
        <w:gridCol w:w="3960"/>
        <w:gridCol w:w="3960"/>
      </w:tblGrid>
      <w:tr>
        <w:trPr>
          <w:tblHeader w:val="on"/>
        </w:trPr>
        <w:tc>
          <w:tcPr/>
          <w:p>
            <w:pPr>
              <w:pStyle w:val="BodyText"/>
            </w:pPr>
            <w:r>
              <w:t xml:space="preserve">iView</w:t>
            </w:r>
          </w:p>
        </w:tc>
        <w:tc>
          <w:tcPr/>
          <w:p>
            <w:pPr>
              <w:pStyle w:val="BodyText"/>
            </w:pPr>
            <w:r>
              <w:t xml:space="preserve">Limitações de geração de relatórios de caso de uso</w:t>
            </w:r>
          </w:p>
        </w:tc>
      </w:tr>
      <w:tr>
        <w:tc>
          <w:tcPr/>
          <w:p>
            <w:pPr>
              <w:pStyle w:val="BodyText"/>
            </w:pPr>
            <w:r>
              <w:t xml:space="preserve">Status atual dos indicadores-chave de desempenho dos objetivos corporativos por categoria</w:t>
            </w:r>
          </w:p>
        </w:tc>
        <w:tc>
          <w:tcPr/>
          <w:p>
            <w:pPr>
              <w:pStyle w:val="BodyText"/>
            </w:pPr>
            <w:r>
              <w:t xml:space="preserve">O relatório é inválido.</w:t>
            </w:r>
          </w:p>
        </w:tc>
      </w:tr>
    </w:tbl>
    <w:bookmarkEnd w:id="29"/>
    <w:bookmarkStart w:id="30" w:name="SemoaplicativoRiscos"/>
    <w:p>
      <w:pPr>
        <w:pStyle w:val="Heading3"/>
      </w:pPr>
      <w:r>
        <w:t xml:space="preserve">Sem o aplicativo Riscos</w:t>
      </w:r>
    </w:p>
    <w:p>
      <w:pPr>
        <w:pStyle w:val="TableCaption"/>
      </w:pPr>
      <w:r>
        <w:t xml:space="preserve">A tabela a seguir descreve as limitações dos relatórios do painel de controle do Portal de Governança sem um caso de uso que contém o aplicativo Riscos.</w:t>
      </w:r>
    </w:p>
    <w:tbl>
      <w:tblPr>
        <w:tblStyle w:val="Table"/>
        <w:tblW w:type="auto" w:w="0"/>
        <w:tblLook w:firstRow="1" w:lastRow="0" w:firstColumn="0" w:lastColumn="0" w:noHBand="0" w:noVBand="0" w:val="0020"/>
        <w:tblCaption w:val="A tabela a seguir descreve as limitações dos relatórios do painel de controle do Portal de Governança sem um caso de uso que contém o aplicativo Riscos."/>
      </w:tblPr>
      <w:tblGrid>
        <w:gridCol w:w="3960"/>
        <w:gridCol w:w="3960"/>
      </w:tblGrid>
      <w:tr>
        <w:trPr>
          <w:tblHeader w:val="on"/>
        </w:trPr>
        <w:tc>
          <w:tcPr/>
          <w:p>
            <w:pPr>
              <w:pStyle w:val="BodyText"/>
            </w:pPr>
            <w:r>
              <w:t xml:space="preserve">iView</w:t>
            </w:r>
          </w:p>
        </w:tc>
        <w:tc>
          <w:tcPr/>
          <w:p>
            <w:pPr>
              <w:pStyle w:val="BodyText"/>
            </w:pPr>
            <w:r>
              <w:t xml:space="preserve">Limitações de geração de relatórios de caso de uso</w:t>
            </w:r>
          </w:p>
        </w:tc>
      </w:tr>
      <w:tr>
        <w:tc>
          <w:tcPr/>
          <w:p>
            <w:pPr>
              <w:pStyle w:val="BodyText"/>
            </w:pPr>
            <w:r>
              <w:t xml:space="preserve">Objetivos corporativos por categoria com altos riscos</w:t>
            </w:r>
          </w:p>
        </w:tc>
        <w:tc>
          <w:tcPr/>
          <w:p>
            <w:pPr>
              <w:pStyle w:val="BodyText"/>
            </w:pPr>
            <w:r>
              <w:t xml:space="preserve">O relatório é inválido.</w:t>
            </w:r>
          </w:p>
        </w:tc>
      </w:tr>
    </w:tbl>
    <w:bookmarkEnd w:id="30"/>
    <w:bookmarkEnd w:id="31"/>
    <w:bookmarkStart w:id="36" w:name="Workflowdocasodeuso"/>
    <w:p>
      <w:pPr>
        <w:pStyle w:val="Heading2"/>
      </w:pPr>
      <w:r>
        <w:t xml:space="preserve">Workflow do caso de uso</w:t>
      </w:r>
    </w:p>
    <w:p>
      <w:pPr>
        <w:pStyle w:val="FirstParagraph"/>
      </w:pPr>
      <w:r>
        <w:t xml:space="preserve">O diagrama a seguir ilustra o fluxo do processo predefinido para o gerenciamento de um programa de política usando o caso de uso.</w:t>
      </w:r>
    </w:p>
    <w:p>
      <w:pPr>
        <w:pStyle w:val="BodyText"/>
      </w:pPr>
      <w:r>
        <w:t xml:space="preserve">Faça download do arquivo de origem do diagrama aqui:</w:t>
      </w:r>
      <w:r>
        <w:t xml:space="preserve"> </w:t>
      </w:r>
      <w:hyperlink r:id="rId32">
        <w:r>
          <w:rPr>
            <w:rStyle w:val="Hyperlink"/>
          </w:rPr>
          <w:t xml:space="preserve">Diagrama de políticas do Gerenciamento do programa de políticas de TI e segurança</w:t>
        </w:r>
      </w:hyperlink>
    </w:p>
    <w:p>
      <w:pPr>
        <w:pStyle w:val="BodyText"/>
      </w:pPr>
      <w:r>
        <w:drawing>
          <wp:inline>
            <wp:extent cx="5334000" cy="4534261"/>
            <wp:effectExtent b="0" l="0" r="0" t="0"/>
            <wp:docPr descr="fluxo do processo de gerenciamento de um programa de política" title="fluxo do processo de gerenciamento de um programa de política" id="34" name="Picture"/>
            <a:graphic>
              <a:graphicData uri="http://schemas.openxmlformats.org/drawingml/2006/picture">
                <pic:pic>
                  <pic:nvPicPr>
                    <pic:cNvPr descr="C:/Users/samue/WebScrapper/HelpArcher-to-pdf/images/7c3b1f60a5af2497a68276a20ae6b45f.png" id="35" name="Picture"/>
                    <pic:cNvPicPr>
                      <a:picLocks noChangeArrowheads="1" noChangeAspect="1"/>
                    </pic:cNvPicPr>
                  </pic:nvPicPr>
                  <pic:blipFill>
                    <a:blip r:embed="rId33"/>
                    <a:stretch>
                      <a:fillRect/>
                    </a:stretch>
                  </pic:blipFill>
                  <pic:spPr bwMode="auto">
                    <a:xfrm>
                      <a:off x="0" y="0"/>
                      <a:ext cx="5334000" cy="4534261"/>
                    </a:xfrm>
                    <a:prstGeom prst="rect">
                      <a:avLst/>
                    </a:prstGeom>
                    <a:noFill/>
                    <a:ln w="9525">
                      <a:noFill/>
                      <a:headEnd/>
                      <a:tailEnd/>
                    </a:ln>
                  </pic:spPr>
                </pic:pic>
              </a:graphicData>
            </a:graphic>
          </wp:inline>
        </w:drawing>
      </w:r>
    </w:p>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hyperlink" Id="rId21" Target="../../Resources/Images/Solutions/ITSecRisk/itsrm_policy_architecture.vsd" TargetMode="External" /><Relationship Type="http://schemas.openxmlformats.org/officeDocument/2006/relationships/hyperlink" Id="rId32" Target="../../Resources/Images/Solutions/ITSecRisk/itsrm_policy_workflow.vsdx" TargetMode="External" /></Relationships>
</file>

<file path=word/_rels/footnotes.xml.rels><?xml version="1.0" encoding="UTF-8"?><Relationships xmlns="http://schemas.openxmlformats.org/package/2006/relationships"><Relationship Type="http://schemas.openxmlformats.org/officeDocument/2006/relationships/hyperlink" Id="rId21" Target="../../Resources/Images/Solutions/ITSecRisk/itsrm_policy_architecture.vsd" TargetMode="External" /><Relationship Type="http://schemas.openxmlformats.org/officeDocument/2006/relationships/hyperlink" Id="rId32" Target="../../Resources/Images/Solutions/ITSecRisk/itsrm_policy_workflow.vsd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2025-03-06T14:45:16Z</dcterms:created>
  <dcterms:modified xsi:type="dcterms:W3CDTF">2025-03-06T14:45:16Z</dcterms:modified>
</cp:coreProperties>
</file>

<file path=docProps/custom.xml><?xml version="1.0" encoding="utf-8"?>
<Properties xmlns="http://schemas.openxmlformats.org/officeDocument/2006/custom-properties" xmlns:vt="http://schemas.openxmlformats.org/officeDocument/2006/docPropsVTypes"/>
</file>