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32e440197743bde0426ae2cda0d5c465c3329e1"/>
    <w:p>
      <w:pPr>
        <w:pStyle w:val="Heading1"/>
      </w:pPr>
      <w:bookmarkStart w:id="20" w:name="aanchor3"/>
      <w:bookmarkEnd w:id="20"/>
      <w:r>
        <w:t xml:space="preserve"> </w:t>
      </w:r>
      <w:r>
        <w:t xml:space="preserve">Gerenciando solicitações de alteração (Gerenciamento do programa de políticas de segurança e TI)</w:t>
      </w:r>
    </w:p>
    <w:p>
      <w:pPr>
        <w:pStyle w:val="FirstParagraph"/>
      </w:pPr>
      <w:r>
        <w:t xml:space="preserve">Você pode usar o aplicativo Solicitações de alteração para processar e analisar solicitações de atualização para registros concluídos ou aprovados em políticas, padrões de controle, procedimentos de controle, narrativas de processos e no repositório de evidências. Com o aplicativo Solicitações de alteração, também é possível processar e analisar novas solicitações de registro para os 5 tipos de conteúdo.</w:t>
      </w:r>
    </w:p>
    <w:p>
      <w:pPr>
        <w:pStyle w:val="BodyText"/>
      </w:pPr>
      <w:r>
        <w:t xml:space="preserve">O diagrama a seguir mostra as principais fases, as tarefas importantes e os usuários responsáveis pelas tarefas.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do Gerenciamento do programa de políticas de segurança e TI – Solicitações de mudança</w:t>
        </w:r>
      </w:hyperlink>
    </w:p>
    <w:p>
      <w:pPr>
        <w:pStyle w:val="BodyText"/>
      </w:pPr>
      <w:r>
        <w:drawing>
          <wp:inline>
            <wp:extent cx="5334000" cy="2596587"/>
            <wp:effectExtent b="0" l="0" r="0" t="0"/>
            <wp:docPr descr="Gerenciamento do programa de políticas de TI e segurança – Diagrama de fluxo do processo de Gerenciando solicitações de mudança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74553c04d1e6b6d431351989884b8e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ITSecRisk/itsrm_policy_change_req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ITSecRisk/itsrm_policy_change_req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2025-03-06T14:45:20Z</dcterms:created>
  <dcterms:modified xsi:type="dcterms:W3CDTF">2025-03-06T14:45:20Z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