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mc-main-content"/>
    <w:bookmarkStart w:id="31" w:name="X1e36405d545a839fd2bee03d61be4b6e40a738a"/>
    <w:p>
      <w:pPr>
        <w:pStyle w:val="Heading1"/>
      </w:pPr>
      <w:r>
        <w:t xml:space="preserve">Garantia de controles de TI do</w:t>
      </w:r>
      <w:r>
        <w:t xml:space="preserve"> </w:t>
      </w:r>
      <w:bookmarkStart w:id="20" w:name="aanchor5"/>
      <w:bookmarkEnd w:id="20"/>
      <w:r>
        <w:t xml:space="preserve">Archer</w:t>
      </w:r>
      <w:r>
        <w:t xml:space="preserve"> </w:t>
      </w:r>
      <w:r>
        <w:t xml:space="preserve">2024.03</w:t>
      </w:r>
    </w:p>
    <w:p>
      <w:pPr>
        <w:pStyle w:val="FirstParagraph"/>
      </w:pPr>
      <w:r>
        <w:t xml:space="preserve">A Garantia de controles de TI do</w:t>
      </w:r>
      <w:r>
        <w:t xml:space="preserve"> </w:t>
      </w:r>
      <w:r>
        <w:t xml:space="preserve">Archer</w:t>
      </w:r>
      <w:r>
        <w:t xml:space="preserve"> </w:t>
      </w:r>
      <w:r>
        <w:t xml:space="preserve">permite avaliar e relatar o desempenho dos controles em todos os ativos de TI e automatizar a avaliação e o monitoramento desses controles.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70dc677b46e0b1da6468ee7b5390b66ebe3be81">
        <w:r>
          <w:rPr>
            <w:rStyle w:val="Hyperlink"/>
          </w:rPr>
          <w:t xml:space="preserve">Benefícios da Garantia de controles de TI do Archer</w:t>
        </w:r>
      </w:hyperlink>
    </w:p>
    <w:p>
      <w:pPr>
        <w:pStyle w:val="Compact"/>
        <w:numPr>
          <w:ilvl w:val="0"/>
          <w:numId w:val="1001"/>
        </w:numPr>
      </w:pPr>
      <w:hyperlink w:anchor="Xc7c50d5986e12000f1fe5f4305152e227f1cb2a">
        <w:r>
          <w:rPr>
            <w:rStyle w:val="Hyperlink"/>
          </w:rPr>
          <w:t xml:space="preserve">Como a Garantia de controles de TI se enquadra em um programa de risco e conformidade</w:t>
        </w:r>
      </w:hyperlink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2"/>
        </w:numPr>
      </w:pPr>
      <w:hyperlink w:anchor="Casosdeusodepr%C3%A9requisitoeseguintes">
        <w:r>
          <w:rPr>
            <w:rStyle w:val="Hyperlink"/>
          </w:rPr>
          <w:t xml:space="preserve">Casos de uso de pré-requisito e seguintes</w:t>
        </w:r>
      </w:hyperlink>
    </w:p>
    <w:p>
      <w:pPr>
        <w:pStyle w:val="Compact"/>
        <w:numPr>
          <w:ilvl w:val="0"/>
          <w:numId w:val="1001"/>
        </w:numPr>
      </w:pPr>
      <w:hyperlink w:anchor="Introdu%C3%A7%C3%A3o">
        <w:r>
          <w:rPr>
            <w:rStyle w:val="Hyperlink"/>
          </w:rPr>
          <w:t xml:space="preserve">Introdução</w:t>
        </w:r>
      </w:hyperlink>
    </w:p>
    <w:bookmarkStart w:id="22" w:name="Xed03c4800d14e9152c40d236b3bad9c9685b484"/>
    <w:p>
      <w:pPr>
        <w:pStyle w:val="Heading2"/>
      </w:pPr>
      <w:r>
        <w:t xml:space="preserve">Benefícios da Garantia de controles de TI do Archer</w:t>
      </w:r>
    </w:p>
    <w:p>
      <w:pPr>
        <w:pStyle w:val="FirstParagraph"/>
      </w:pPr>
      <w:r>
        <w:t xml:space="preserve">Você pode implementar um sistema centralizado a fim de catalogar os ativos de TI para os relatórios de conformidade e estabelecer um sistema de registro para documentar os controles de TI. O workflow e os processos simplificados para testar controles de TI permitem implementar processos de avaliação padronizados para controles manuais e integrar os resultados dos testes de sistemas automatizados. Os problemas identificados durante as avaliações de conformidade são centralizados, permitindo rastrear e relatar as lacunas de conformidade. Os esforços de remediação para essas lacunas podem ser documentados e monitorados para garantir que as variações na conformidade sejam tratadas em tempo hábil.</w:t>
      </w:r>
    </w:p>
    <w:p>
      <w:pPr>
        <w:pStyle w:val="BodyText"/>
      </w:pPr>
      <w:r>
        <w:t xml:space="preserve">Para obter os principais recursos e benefícios deste caso de uso, consulte o Data sheet na</w:t>
      </w:r>
      <w:r>
        <w:t xml:space="preserve"> </w:t>
      </w:r>
      <w:r>
        <w:t xml:space="preserve">Archer Community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https://www.archerirm.community/t5/solution-use-case-overviews/archer-solutions-amp-use-cases/ba-p/572564</w:t>
        </w:r>
      </w:hyperlink>
    </w:p>
    <w:bookmarkEnd w:id="22"/>
    <w:bookmarkStart w:id="25" w:name="Xc7c50d5986e12000f1fe5f4305152e227f1cb2a"/>
    <w:p>
      <w:pPr>
        <w:pStyle w:val="Heading2"/>
      </w:pPr>
      <w:r>
        <w:t xml:space="preserve">Como a Garantia de controles de TI se enquadra em um programa de risco e conformidade</w:t>
      </w:r>
    </w:p>
    <w:p>
      <w:pPr>
        <w:pStyle w:val="FirstParagraph"/>
      </w:pPr>
      <w:r>
        <w:t xml:space="preserve">A Garantia de controles de TI do</w:t>
      </w:r>
      <w:r>
        <w:t xml:space="preserve"> </w:t>
      </w:r>
      <w:r>
        <w:t xml:space="preserve">Archer</w:t>
      </w:r>
      <w:r>
        <w:t xml:space="preserve"> </w:t>
      </w:r>
      <w:r>
        <w:t xml:space="preserve">é um caso de uso na área de solução Gerenciamento de riscos à segurança de TI do</w:t>
      </w:r>
      <w:r>
        <w:t xml:space="preserve"> </w:t>
      </w:r>
      <w:r>
        <w:t xml:space="preserve">Archer</w:t>
      </w:r>
      <w:r>
        <w:t xml:space="preserve">. As seções a seguir descrevem os casos de uso exigidos pela Garantia de controles de TI como pré-requisitos e para quais casos de uso você pode fazer upgrade à medida que seu programa amadurece.</w:t>
      </w:r>
    </w:p>
    <w:bookmarkStart w:id="24" w:name="Casosdeusodeprérequisitoeseguintes"/>
    <w:p>
      <w:pPr>
        <w:pStyle w:val="Heading3"/>
      </w:pPr>
      <w:r>
        <w:t xml:space="preserve">Casos de uso de pré-requisito e seguintes</w:t>
      </w:r>
    </w:p>
    <w:p>
      <w:pPr>
        <w:pStyle w:val="TableCaption"/>
      </w:pPr>
      <w:r>
        <w:t xml:space="preserve">O diagrama a seguir mostra como este caso de uso se encaixa na área de solução geral Gerenciamento de riscos de segurança TI.</w:t>
      </w:r>
    </w:p>
    <w:p>
      <w:pPr>
        <w:pStyle w:val="TableCaption"/>
      </w:pPr>
      <w:r>
        <w:t xml:space="preserve">Para obter informações sobre estes casos de uso do</w:t>
      </w:r>
      <w:r>
        <w:t xml:space="preserve"> </w:t>
      </w:r>
      <w:r>
        <w:t xml:space="preserve">Archer</w:t>
      </w:r>
      <w:r>
        <w:t xml:space="preserve">, consulte a</w:t>
      </w:r>
      <w:r>
        <w:t xml:space="preserve"> </w:t>
      </w:r>
      <w:hyperlink r:id="rId23">
        <w:r>
          <w:rPr>
            <w:rStyle w:val="Hyperlink"/>
          </w:rPr>
          <w:t xml:space="preserve">Ajuda das soluções Archer.</w:t>
        </w:r>
      </w:hyperlink>
    </w:p>
    <w:tbl>
      <w:tblPr>
        <w:tblStyle w:val="Table"/>
        <w:tblW w:type="pct" w:w="4950"/>
        <w:tblLayout w:type="fixed"/>
        <w:tblLook w:firstRow="1" w:lastRow="0" w:firstColumn="0" w:lastColumn="0" w:noHBand="0" w:noVBand="0" w:val="0020"/>
        <w:tblCaption w:val="O diagrama a seguir mostra como este caso de uso se encaixa na área de solução geral Gerenciamento de riscos de segurança TI.Para obter informações sobre estes casos de uso do Archer, consulte a Ajuda das soluções Archer."/>
      </w:tblPr>
      <w:tblGrid>
        <w:gridCol w:w="2613"/>
        <w:gridCol w:w="2613"/>
        <w:gridCol w:w="2613"/>
      </w:tblGrid>
      <w:tr>
        <w:trPr>
          <w:tblHeader w:val="on"/>
        </w:trPr>
        <w:tc>
          <w:tcPr/>
          <w:p>
            <w:pPr>
              <w:jc w:val="center"/>
            </w:pPr>
            <w:r>
              <w:t xml:space="preserve">Pré-requisitos</w:t>
            </w:r>
          </w:p>
        </w:tc>
        <w:tc>
          <w:tcPr/>
          <w:p>
            <w:pPr>
              <w:jc w:val="center"/>
            </w:pPr>
            <w:r>
              <w:t xml:space="preserve">O que você tem</w:t>
            </w:r>
          </w:p>
        </w:tc>
        <w:tc>
          <w:tcPr/>
          <w:p>
            <w:pPr>
              <w:jc w:val="center"/>
            </w:pPr>
            <w:r>
              <w:t xml:space="preserve">O que vem depois</w:t>
            </w:r>
          </w:p>
        </w:tc>
      </w:tr>
      <w:tr>
        <w:tc>
          <w:tcPr/>
          <w:p>
            <w:pPr>
              <w:jc w:val="center"/>
            </w:pPr>
            <w:r>
              <w:t xml:space="preserve">Gerenciamento de problemas</w:t>
            </w:r>
          </w:p>
        </w:tc>
        <w:tc>
          <w:tcPr/>
          <w:p>
            <w:pPr>
              <w:jc w:val="center"/>
            </w:pPr>
            <w:r>
              <w:t xml:space="preserve">Garantia de controles de TI</w:t>
            </w:r>
          </w:p>
        </w:tc>
        <w:tc>
          <w:tcPr/>
          <w:p>
            <w:pPr>
              <w:jc w:val="center"/>
            </w:pPr>
            <w:r>
              <w:t xml:space="preserve">Monitoramento de controles financeiros (RCCM)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center"/>
            </w:pPr>
            <w:r>
              <w:t xml:space="preserve">Rastrear e corrigir defeitos</w:t>
            </w:r>
          </w:p>
          <w:p>
            <w:pPr>
              <w:pStyle w:val="Compact"/>
              <w:numPr>
                <w:ilvl w:val="0"/>
                <w:numId w:val="1003"/>
              </w:numPr>
              <w:jc w:val="center"/>
            </w:pPr>
            <w:r>
              <w:t xml:space="preserve">Consolidar o processo de gerenciamento de problemas</w:t>
            </w:r>
          </w:p>
          <w:p>
            <w:pPr>
              <w:pStyle w:val="Compact"/>
              <w:numPr>
                <w:ilvl w:val="0"/>
                <w:numId w:val="1003"/>
              </w:numPr>
              <w:jc w:val="center"/>
            </w:pPr>
            <w:r>
              <w:t xml:space="preserve">Gerenciar exceções com aprovação/aceitação adequada de riscos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  <w:jc w:val="center"/>
            </w:pPr>
            <w:r>
              <w:t xml:space="preserve">Testes automatizados para controles técnicos e processo</w:t>
            </w:r>
          </w:p>
          <w:p>
            <w:pPr>
              <w:pStyle w:val="Compact"/>
              <w:numPr>
                <w:ilvl w:val="0"/>
                <w:numId w:val="1004"/>
              </w:numPr>
              <w:jc w:val="center"/>
            </w:pPr>
            <w:r>
              <w:t xml:space="preserve">Repositório e taxonomia de controles estruturados</w:t>
            </w:r>
          </w:p>
          <w:p>
            <w:pPr>
              <w:pStyle w:val="Compact"/>
              <w:numPr>
                <w:ilvl w:val="0"/>
                <w:numId w:val="1004"/>
              </w:numPr>
              <w:jc w:val="center"/>
            </w:pPr>
            <w:r>
              <w:t xml:space="preserve">Gerenciar problemas para obrigações corporativas e regulatórias relacionadas a mudanças</w:t>
            </w:r>
          </w:p>
          <w:p>
            <w:pPr>
              <w:pStyle w:val="Compact"/>
              <w:numPr>
                <w:ilvl w:val="0"/>
                <w:numId w:val="1004"/>
              </w:numPr>
              <w:jc w:val="center"/>
            </w:pPr>
            <w:r>
              <w:t xml:space="preserve">Integrar a tecnologias de integração e testes</w:t>
            </w:r>
          </w:p>
        </w:tc>
        <w:tc>
          <w:tcPr/>
          <w:p>
            <w:pPr>
              <w:pStyle w:val="Compact"/>
              <w:numPr>
                <w:ilvl w:val="0"/>
                <w:numId w:val="1005"/>
              </w:numPr>
              <w:jc w:val="center"/>
            </w:pPr>
            <w:r>
              <w:t xml:space="preserve">Testar e manter controles financeiros para obrigações regulamentares como SOX</w:t>
            </w:r>
          </w:p>
          <w:p>
            <w:pPr>
              <w:pStyle w:val="Compact"/>
              <w:numPr>
                <w:ilvl w:val="0"/>
                <w:numId w:val="1005"/>
              </w:numPr>
              <w:jc w:val="center"/>
            </w:pPr>
            <w:r>
              <w:t xml:space="preserve">Gerenciar problemas detectados como parte do programa de controles financeiros</w:t>
            </w:r>
          </w:p>
          <w:p>
            <w:pPr>
              <w:pStyle w:val="Compact"/>
              <w:numPr>
                <w:ilvl w:val="0"/>
                <w:numId w:val="1005"/>
              </w:numPr>
              <w:jc w:val="center"/>
            </w:pPr>
            <w:r>
              <w:t xml:space="preserve">Fazer a auditoria e a manutenção de listas PBC (Provided By Client, fornecido pelo client)</w:t>
            </w:r>
          </w:p>
          <w:p>
            <w:pPr>
              <w:pStyle w:val="Compact"/>
              <w:numPr>
                <w:ilvl w:val="0"/>
                <w:numId w:val="1005"/>
              </w:numPr>
              <w:jc w:val="center"/>
            </w:pPr>
            <w:r>
              <w:t xml:space="preserve">Documentar e manter narrativas de processo</w:t>
            </w:r>
          </w:p>
          <w:p>
            <w:pPr>
              <w:pStyle w:val="Compact"/>
              <w:numPr>
                <w:ilvl w:val="0"/>
                <w:numId w:val="1005"/>
              </w:numPr>
              <w:jc w:val="center"/>
            </w:pPr>
            <w:r>
              <w:t xml:space="preserve">Documentar e analisar alterações em controles e processos</w:t>
            </w:r>
          </w:p>
        </w:tc>
      </w:tr>
    </w:tbl>
    <w:bookmarkEnd w:id="24"/>
    <w:bookmarkEnd w:id="25"/>
    <w:bookmarkStart w:id="30" w:name="Introdução"/>
    <w:p>
      <w:pPr>
        <w:pStyle w:val="Heading2"/>
      </w:pPr>
      <w:r>
        <w:t xml:space="preserve">Introdução</w:t>
      </w:r>
    </w:p>
    <w:p>
      <w:pPr>
        <w:pStyle w:val="Compact"/>
        <w:numPr>
          <w:ilvl w:val="0"/>
          <w:numId w:val="1006"/>
        </w:numPr>
      </w:pPr>
      <w:hyperlink r:id="rId26">
        <w:r>
          <w:rPr>
            <w:rStyle w:val="Hyperlink"/>
          </w:rPr>
          <w:t xml:space="preserve">Saiba mais sobre o projeto de casos de uso</w:t>
        </w:r>
      </w:hyperlink>
    </w:p>
    <w:p>
      <w:pPr>
        <w:pStyle w:val="Compact"/>
        <w:numPr>
          <w:ilvl w:val="0"/>
          <w:numId w:val="1006"/>
        </w:numPr>
      </w:pPr>
      <w:hyperlink r:id="rId27">
        <w:r>
          <w:rPr>
            <w:rStyle w:val="Hyperlink"/>
          </w:rPr>
          <w:t xml:space="preserve">Instalar e configurar o caso de uso</w:t>
        </w:r>
      </w:hyperlink>
    </w:p>
    <w:p>
      <w:pPr>
        <w:pStyle w:val="Compact"/>
        <w:numPr>
          <w:ilvl w:val="0"/>
          <w:numId w:val="1006"/>
        </w:numPr>
      </w:pPr>
      <w:hyperlink r:id="rId28">
        <w:r>
          <w:rPr>
            <w:rStyle w:val="Hyperlink"/>
          </w:rPr>
          <w:t xml:space="preserve">Saiba mais sobre como usar o caso de uso</w:t>
        </w:r>
      </w:hyperlink>
    </w:p>
    <w:p>
      <w:pPr>
        <w:pStyle w:val="Compact"/>
        <w:numPr>
          <w:ilvl w:val="0"/>
          <w:numId w:val="1006"/>
        </w:numPr>
      </w:pPr>
      <w:hyperlink r:id="rId29">
        <w:r>
          <w:rPr>
            <w:rStyle w:val="Hyperlink"/>
          </w:rPr>
          <w:t xml:space="preserve">O que há de novo nesta versão</w:t>
        </w:r>
      </w:hyperlink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ReleaseNotes/itsrm_itcrtl_2024_03.htm" TargetMode="External" /><Relationship Type="http://schemas.openxmlformats.org/officeDocument/2006/relationships/hyperlink" Id="rId23" Target="https://help.archerirm.cloud/archer_suite_help/en-us/Content/PortalHome/SolutionsHome/sol_home.htm" TargetMode="External" /><Relationship Type="http://schemas.openxmlformats.org/officeDocument/2006/relationships/hyperlink" Id="rId21" Target="https://www.archerirm.community/t5/solution-use-case-overviews/archer-solutions-amp-use-cases/ba-p/572564" TargetMode="External" /><Relationship Type="http://schemas.openxmlformats.org/officeDocument/2006/relationships/hyperlink" Id="rId26" Target="itsrm_itctrl_design.htm" TargetMode="External" /><Relationship Type="http://schemas.openxmlformats.org/officeDocument/2006/relationships/hyperlink" Id="rId27" Target="itsrm_itctrl_install.htm" TargetMode="External" /><Relationship Type="http://schemas.openxmlformats.org/officeDocument/2006/relationships/hyperlink" Id="rId28" Target="itsrm_itctrl_us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ReleaseNotes/itsrm_itcrtl_2024_03.htm" TargetMode="External" /><Relationship Type="http://schemas.openxmlformats.org/officeDocument/2006/relationships/hyperlink" Id="rId23" Target="https://help.archerirm.cloud/archer_suite_help/en-us/Content/PortalHome/SolutionsHome/sol_home.htm" TargetMode="External" /><Relationship Type="http://schemas.openxmlformats.org/officeDocument/2006/relationships/hyperlink" Id="rId21" Target="https://www.archerirm.community/t5/solution-use-case-overviews/archer-solutions-amp-use-cases/ba-p/572564" TargetMode="External" /><Relationship Type="http://schemas.openxmlformats.org/officeDocument/2006/relationships/hyperlink" Id="rId26" Target="itsrm_itctrl_design.htm" TargetMode="External" /><Relationship Type="http://schemas.openxmlformats.org/officeDocument/2006/relationships/hyperlink" Id="rId27" Target="itsrm_itctrl_install.htm" TargetMode="External" /><Relationship Type="http://schemas.openxmlformats.org/officeDocument/2006/relationships/hyperlink" Id="rId28" Target="itsrm_itctrl_us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2025-03-06T14:45:47Z</dcterms:created>
  <dcterms:modified xsi:type="dcterms:W3CDTF">2025-03-06T14:45:47Z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