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e4fc4f1f05b24d9426efcdd061aad58035442af"/>
    <w:p>
      <w:pPr>
        <w:pStyle w:val="Heading1"/>
      </w:pPr>
      <w:r>
        <w:t xml:space="preserve">Migrando dados de Procedimentos de controle para Controles primários</w:t>
      </w:r>
    </w:p>
    <w:p>
      <w:pPr>
        <w:pStyle w:val="FirstParagraph"/>
      </w:pPr>
      <w:r>
        <w:t xml:space="preserve">Archer</w:t>
      </w:r>
      <w:r>
        <w:t xml:space="preserve"> </w:t>
      </w:r>
      <w:r>
        <w:t xml:space="preserve">A Garantia de controles de TI inclui um novo aplicativo Controles primários que serve como um repositório central para controles. Se você estiver fazendo upgrade de uma versão anterior da Garantia de controles de TI do</w:t>
      </w:r>
      <w:r>
        <w:t xml:space="preserve"> </w:t>
      </w:r>
      <w:r>
        <w:t xml:space="preserve">Archer</w:t>
      </w:r>
      <w:r>
        <w:t xml:space="preserve">, deverá migrar seus procedimentos de controle do aplicativo Procedimentos de Controle para o aplicativo Controles primários para garantir que os feeds de dados fornecidos com o caso de uso atualizado sejam executados.</w:t>
      </w:r>
    </w:p>
    <w:p>
      <w:pPr>
        <w:pStyle w:val="BodyText"/>
      </w:pPr>
      <w:r>
        <w:t xml:space="preserve">Nesta página</w:t>
      </w:r>
    </w:p>
    <w:p>
      <w:pPr>
        <w:pStyle w:val="Compact"/>
        <w:numPr>
          <w:ilvl w:val="0"/>
          <w:numId w:val="1001"/>
        </w:numPr>
      </w:pPr>
      <w:hyperlink w:anchor="Tarefa1Importarfeedsdedados">
        <w:r>
          <w:rPr>
            <w:rStyle w:val="Hyperlink"/>
          </w:rPr>
          <w:t xml:space="preserve">Tarefa 1: Importar feeds de dados</w:t>
        </w:r>
      </w:hyperlink>
    </w:p>
    <w:p>
      <w:pPr>
        <w:pStyle w:val="Compact"/>
        <w:numPr>
          <w:ilvl w:val="0"/>
          <w:numId w:val="1001"/>
        </w:numPr>
      </w:pPr>
      <w:hyperlink w:anchor="Tarefa2UpgradedoGarantiadecontrolesdeTI">
        <w:r>
          <w:rPr>
            <w:rStyle w:val="Hyperlink"/>
          </w:rPr>
          <w:t xml:space="preserve">Tarefa 2: Upgrade do Garantia de controles de TI</w:t>
        </w:r>
      </w:hyperlink>
    </w:p>
    <w:bookmarkStart w:id="21" w:name="Tarefa1Importarfeedsdedados"/>
    <w:p>
      <w:pPr>
        <w:pStyle w:val="Heading2"/>
      </w:pPr>
      <w:r>
        <w:t xml:space="preserve">Tarefa 1: Importar feeds de dados</w:t>
      </w:r>
    </w:p>
    <w:p>
      <w:pPr>
        <w:pStyle w:val="FirstParagraph"/>
      </w:pPr>
      <w:r>
        <w:t xml:space="preserve">Importe e agende os seguintes feeds de dados na ordem em que estão listados.</w:t>
      </w:r>
    </w:p>
    <w:p>
      <w:pPr>
        <w:numPr>
          <w:ilvl w:val="0"/>
          <w:numId w:val="1002"/>
        </w:numPr>
      </w:pPr>
      <w:r>
        <w:t xml:space="preserve">RCCM_Move_Control_Procedures_to_Primary_Controls.dfx5</w:t>
      </w:r>
    </w:p>
    <w:p>
      <w:pPr>
        <w:numPr>
          <w:ilvl w:val="0"/>
          <w:numId w:val="1002"/>
        </w:numPr>
      </w:pPr>
      <w:r>
        <w:t xml:space="preserve">RCCM_Move_Control_Procedures_to_Primary_Controls_(Section).dfx5</w:t>
      </w:r>
    </w:p>
    <w:p>
      <w:pPr>
        <w:numPr>
          <w:ilvl w:val="0"/>
          <w:numId w:val="1002"/>
        </w:numPr>
      </w:pPr>
      <w:r>
        <w:t xml:space="preserve">RCCM_Move_Control_Procedures_to_Primary_Controls_(Topic).dfx5</w:t>
      </w:r>
    </w:p>
    <w:p>
      <w:pPr>
        <w:numPr>
          <w:ilvl w:val="0"/>
          <w:numId w:val="1002"/>
        </w:numPr>
      </w:pPr>
      <w:r>
        <w:t xml:space="preserve">RCCM_Move_Control_Procedures_to_Primary_Controls_(Sub_Section).dfx5</w:t>
      </w:r>
    </w:p>
    <w:p>
      <w:pPr>
        <w:pStyle w:val="FirstParagraph"/>
      </w:pPr>
      <w:r>
        <w:t xml:space="preserve">Para obter instruções sobre como importar e agendar feeds de dados, consulte</w:t>
      </w:r>
      <w:r>
        <w:t xml:space="preserve"> </w:t>
      </w:r>
      <w:hyperlink r:id="rId20">
        <w:r>
          <w:rPr>
            <w:rStyle w:val="Hyperlink"/>
          </w:rPr>
          <w:t xml:space="preserve">Configurando feeds de dados do Garantia de controles de TI.</w:t>
        </w:r>
      </w:hyperlink>
    </w:p>
    <w:bookmarkEnd w:id="21"/>
    <w:bookmarkStart w:id="28" w:name="Tarefa2UpgradedoGarantiadecontrolesdeTI"/>
    <w:p>
      <w:pPr>
        <w:pStyle w:val="Heading2"/>
      </w:pPr>
      <w:r>
        <w:t xml:space="preserve">Tarefa 2: Upgrade do Garantia de controles de TI</w:t>
      </w:r>
    </w:p>
    <w:p>
      <w:pPr>
        <w:pStyle w:val="Compact"/>
        <w:numPr>
          <w:ilvl w:val="0"/>
          <w:numId w:val="1003"/>
        </w:numPr>
      </w:pPr>
      <w:r>
        <w:t xml:space="preserve">Para cada um dos feeds de dados listados em "Tarefa 1: Importar feeds de dados", faça o seguinte.</w:t>
      </w:r>
    </w:p>
    <w:p>
      <w:pPr>
        <w:pStyle w:val="Compact"/>
        <w:numPr>
          <w:ilvl w:val="1"/>
          <w:numId w:val="1004"/>
        </w:numPr>
      </w:pPr>
      <w:r>
        <w:t xml:space="preserve">No menu,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e82f933f310d6e3fe35dac2e5e3fd526.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1"/>
          <w:numId w:val="1004"/>
        </w:numPr>
      </w:pPr>
      <w:r>
        <w:t xml:space="preserve">Na coluna Ações do feed de dados que deseja executar, clique em</w:t>
      </w:r>
      <w:r>
        <w:t xml:space="preserve"> </w:t>
      </w:r>
      <w:r>
        <w:drawing>
          <wp:inline>
            <wp:extent cx="179043" cy="51155"/>
            <wp:effectExtent b="0" l="0" r="0" t="0"/>
            <wp:docPr descr="Reticências" title="Reticências" id="26" name="Picture"/>
            <a:graphic>
              <a:graphicData uri="http://schemas.openxmlformats.org/drawingml/2006/picture">
                <pic:pic>
                  <pic:nvPicPr>
                    <pic:cNvPr descr="C:/Users/samue/WebScrapper/HelpArcher-to-pdf/images/ac4e0ac55daff1def9c51b9ea8b4b4df.png" id="27" name="Picture"/>
                    <pic:cNvPicPr>
                      <a:picLocks noChangeArrowheads="1" noChangeAspect="1"/>
                    </pic:cNvPicPr>
                  </pic:nvPicPr>
                  <pic:blipFill>
                    <a:blip r:embed="rId2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&gt; Executar agora. O feed de dados deve estar ativo para ser executado e pode levar vários minutos para ser concluído.</w:t>
      </w:r>
    </w:p>
    <w:p>
      <w:pPr>
        <w:pStyle w:val="Compact"/>
        <w:numPr>
          <w:ilvl w:val="1"/>
          <w:numId w:val="1004"/>
        </w:numPr>
      </w:pPr>
      <w:r>
        <w:t xml:space="preserve">Repita as etapas 1 a-b para cada um dos feeds de dados restantes.</w:t>
      </w:r>
    </w:p>
    <w:p>
      <w:pPr>
        <w:pStyle w:val="Compact"/>
        <w:numPr>
          <w:ilvl w:val="0"/>
          <w:numId w:val="1003"/>
        </w:numPr>
      </w:pPr>
      <w:r>
        <w:t xml:space="preserve">Verifique se os procedimentos de controle foram movidos para o aplicativo Controles primários.</w:t>
      </w:r>
    </w:p>
    <w:p>
      <w:pPr>
        <w:pStyle w:val="Compact"/>
        <w:numPr>
          <w:ilvl w:val="1"/>
          <w:numId w:val="1005"/>
        </w:numPr>
      </w:pPr>
      <w:r>
        <w:t xml:space="preserve">No menu, selecione o menu Gerenciamento de riscos de segurança de TI.</w:t>
      </w:r>
    </w:p>
    <w:p>
      <w:pPr>
        <w:pStyle w:val="Compact"/>
        <w:numPr>
          <w:ilvl w:val="1"/>
          <w:numId w:val="1005"/>
        </w:numPr>
      </w:pPr>
      <w:r>
        <w:t xml:space="preserve">Selecione Garantia de controles de TI</w:t>
      </w:r>
    </w:p>
    <w:p>
      <w:pPr>
        <w:pStyle w:val="Compact"/>
        <w:numPr>
          <w:ilvl w:val="1"/>
          <w:numId w:val="1005"/>
        </w:numPr>
      </w:pPr>
      <w:r>
        <w:t xml:space="preserve">Clique em Controles primários.</w:t>
      </w:r>
    </w:p>
    <w:p>
      <w:pPr>
        <w:pStyle w:val="Compact"/>
        <w:numPr>
          <w:ilvl w:val="1"/>
          <w:numId w:val="1005"/>
        </w:numPr>
      </w:pPr>
      <w:r>
        <w:t xml:space="preserve">Analise os procedimentos de controle listados no aplicativo.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0" Target="itsrm_itctrl_df_setting_up.htm" TargetMode="External" /></Relationships>
</file>

<file path=word/_rels/footnotes.xml.rels><?xml version="1.0" encoding="UTF-8"?><Relationships xmlns="http://schemas.openxmlformats.org/package/2006/relationships"><Relationship Type="http://schemas.openxmlformats.org/officeDocument/2006/relationships/hyperlink" Id="rId20" Target="itsrm_itctrl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2025-03-06T14:46:51Z</dcterms:created>
  <dcterms:modified xsi:type="dcterms:W3CDTF">2025-03-06T14:46:51Z</dcterms:modified>
</cp:coreProperties>
</file>

<file path=docProps/custom.xml><?xml version="1.0" encoding="utf-8"?>
<Properties xmlns="http://schemas.openxmlformats.org/officeDocument/2006/custom-properties" xmlns:vt="http://schemas.openxmlformats.org/officeDocument/2006/docPropsVTypes"/>
</file>