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mc-main-content"/>
    <w:bookmarkStart w:id="30" w:name="X20a301a6b7a4280918783fb62d6553b8620512a"/>
    <w:p>
      <w:pPr>
        <w:pStyle w:val="Heading1"/>
      </w:pPr>
      <w:r>
        <w:t xml:space="preserve">Programa de vulnerabilidades de segurança de TI 6.9.2 do</w:t>
      </w:r>
      <w:r>
        <w:t xml:space="preserve"> </w:t>
      </w:r>
      <w:bookmarkStart w:id="20" w:name="aanchor3"/>
      <w:bookmarkEnd w:id="20"/>
      <w:r>
        <w:t xml:space="preserve"> </w:t>
      </w:r>
      <w:r>
        <w:t xml:space="preserve">Archer</w:t>
      </w:r>
    </w:p>
    <w:p>
      <w:pPr>
        <w:pStyle w:val="FirstParagraph"/>
      </w:pPr>
      <w:r>
        <w:t xml:space="preserve">O Programa de vulnerabilidades de segurança de TI do</w:t>
      </w:r>
      <w:r>
        <w:t xml:space="preserve"> </w:t>
      </w:r>
      <w:r>
        <w:t xml:space="preserve">Archer</w:t>
      </w:r>
      <w:r>
        <w:t xml:space="preserve"> </w:t>
      </w:r>
      <w:r>
        <w:t xml:space="preserve">permite que as equipes de segurança identifiquem sistematicamente ameaças e vulnerabilidades e as priorizem com base no nível de risco para os negócios. Essas equipes também podem gerenciar proativamente os riscos de segurança de TI combinando contexto de negócios de ativos, resultados de avaliação de vulnerabilidades e workflows abrangentes em 1 só lugar. Os ativos de TI podem ser catalogados com uma sobreposição completa do contexto de negócios para priorizar a análise e a resposta. A plataforma consolidada para o gerenciamento de vulnerabilidades permite centralizar o rastreamento e a remediação de problemas relacionados.</w:t>
      </w:r>
    </w:p>
    <w:p>
      <w:pPr>
        <w:pStyle w:val="BodyText"/>
      </w:pPr>
      <w:r>
        <w:t xml:space="preserve">Nesta página</w:t>
      </w:r>
    </w:p>
    <w:p>
      <w:pPr>
        <w:pStyle w:val="Compact"/>
        <w:numPr>
          <w:ilvl w:val="0"/>
          <w:numId w:val="1001"/>
        </w:numPr>
      </w:pPr>
      <w:hyperlink w:anchor="X8e4d2b267f629651dd74ca4d0e15c4f8de51a89">
        <w:r>
          <w:rPr>
            <w:rStyle w:val="Hyperlink"/>
          </w:rPr>
          <w:t xml:space="preserve">Benefícios do caso de uso do Programa de vulnerabilidades de segurança de TI</w:t>
        </w:r>
      </w:hyperlink>
    </w:p>
    <w:p>
      <w:pPr>
        <w:pStyle w:val="Compact"/>
        <w:numPr>
          <w:ilvl w:val="0"/>
          <w:numId w:val="1001"/>
        </w:numPr>
      </w:pPr>
      <w:hyperlink w:anchor="Xeb337d6f2bf8667e9567a2ad208b2d444ccfaaf">
        <w:r>
          <w:rPr>
            <w:rStyle w:val="Hyperlink"/>
          </w:rPr>
          <w:t xml:space="preserve">Como o Programa de vulnerabilidades de segurança de TI se encaixa em um programa de risco e conformidade</w:t>
        </w:r>
      </w:hyperlink>
    </w:p>
    <w:p>
      <w:pPr>
        <w:pStyle w:val="Compact"/>
        <w:numPr>
          <w:ilvl w:val="1"/>
          <w:numId w:val="1002"/>
        </w:numPr>
      </w:pPr>
      <w:hyperlink w:anchor="Casosdeusodepr%C3%A9requisitoeseguintes">
        <w:r>
          <w:rPr>
            <w:rStyle w:val="Hyperlink"/>
          </w:rPr>
          <w:t xml:space="preserve">Casos de uso de pré-requisito e seguintes</w:t>
        </w:r>
      </w:hyperlink>
    </w:p>
    <w:p>
      <w:pPr>
        <w:pStyle w:val="Compact"/>
        <w:numPr>
          <w:ilvl w:val="0"/>
          <w:numId w:val="1001"/>
        </w:numPr>
      </w:pPr>
      <w:hyperlink w:anchor="Introdu%C3%A7%C3%A3o">
        <w:r>
          <w:rPr>
            <w:rStyle w:val="Hyperlink"/>
          </w:rPr>
          <w:t xml:space="preserve">Introdução</w:t>
        </w:r>
      </w:hyperlink>
    </w:p>
    <w:bookmarkStart w:id="22" w:name="Xe2932a1bcdd3d18d6b5e15dfaeff6d6846bd2cb"/>
    <w:p>
      <w:pPr>
        <w:pStyle w:val="Heading2"/>
      </w:pPr>
      <w:r>
        <w:t xml:space="preserve">Benefícios do caso de uso do Programa de vulnerabilidades de segurança de TI</w:t>
      </w:r>
    </w:p>
    <w:p>
      <w:pPr>
        <w:pStyle w:val="FirstParagraph"/>
      </w:pPr>
      <w:r>
        <w:t xml:space="preserve">Com o Programa de vulnerabilidades de segurança de TI do</w:t>
      </w:r>
      <w:r>
        <w:t xml:space="preserve"> </w:t>
      </w:r>
      <w:r>
        <w:t xml:space="preserve">Archer</w:t>
      </w:r>
      <w:r>
        <w:t xml:space="preserve">, os analistas de segurança de TI podem implementar alertas, explorar os resultados da análise de vulnerabilidades e analisar os problemas à medida que eles surgem, para ajudar a impulsionar a taxa de encerramento de lacunas críticas. A capacidade de pesquisar vulnerabilidades conhecidas ajuda a priorizar os esforços para as operações de TI, reduzindo custos, tempo e esforço, além de permitir ver as vulnerabilidades perigosas nos ativos críticos.</w:t>
      </w:r>
    </w:p>
    <w:p>
      <w:pPr>
        <w:pStyle w:val="BodyText"/>
      </w:pPr>
      <w:r>
        <w:t xml:space="preserve">Um mecanismo avançado e flexível de regras destaca as novas ameaças, problemas pendentes e necessidades dinâmicas dos negócios. Para gerentes de TI e de negócios, um módulo de gerenciamento consolidado faz a integração entre lógica analítica avançada e relatórios, workflows e uma estrutura de gerenciamento de riscos para possibilitar decisões de segurança orientadas por dados. Usando o Programa de vulnerabilidades de segurança de TI do</w:t>
      </w:r>
      <w:r>
        <w:t xml:space="preserve"> </w:t>
      </w:r>
      <w:r>
        <w:t xml:space="preserve">Archer</w:t>
      </w:r>
      <w:r>
        <w:t xml:space="preserve">, as organizações podem gerenciar com eficiência todo o ciclo de vida da vulnerabilidade, desde a detecção e geração de relatórios até a remediação e verificação.</w:t>
      </w:r>
    </w:p>
    <w:p>
      <w:pPr>
        <w:pStyle w:val="BodyText"/>
      </w:pPr>
      <w:r>
        <w:t xml:space="preserve">Para obter os principais recursos e benefícios deste caso de uso, consulte o Data sheet na</w:t>
      </w:r>
      <w:r>
        <w:t xml:space="preserve"> </w:t>
      </w:r>
      <w:r>
        <w:t xml:space="preserve">Archer Community</w:t>
      </w:r>
      <w:r>
        <w:t xml:space="preserve">:</w:t>
      </w:r>
      <w:r>
        <w:t xml:space="preserve"> </w:t>
      </w:r>
      <w:hyperlink r:id="rId21">
        <w:r>
          <w:rPr>
            <w:rStyle w:val="Hyperlink"/>
          </w:rPr>
          <w:t xml:space="preserve">https://www.archerirm.community/t5/solution-use-case-overviews/archer-solutions-amp-use-cases/ba-p/572564</w:t>
        </w:r>
      </w:hyperlink>
    </w:p>
    <w:bookmarkEnd w:id="22"/>
    <w:bookmarkStart w:id="25" w:name="Xc715bbe99461125a38215b2cf2bc55afdf93562"/>
    <w:p>
      <w:pPr>
        <w:pStyle w:val="Heading2"/>
      </w:pPr>
      <w:r>
        <w:t xml:space="preserve">Como o Programa de vulnerabilidades de segurança de TI se encaixa em um programa de risco e conformidade</w:t>
      </w:r>
    </w:p>
    <w:p>
      <w:pPr>
        <w:pStyle w:val="FirstParagraph"/>
      </w:pPr>
      <w:r>
        <w:t xml:space="preserve">O o Programa de vulnerabilidades de segurança de TI é um caso de uso na área de solução Segurança e gerenciamento de riscos de TI. As seções a seguir descrevem os casos de uso exigidos pelo Programa de vulnerabilidades de segurança de TI como pré-requisito, para os quais você pode fazer upgrade quando seu programa amadurecer e que podem ser integrados a outras áreas de soluções para a obtenção de outros contextos e funcionalidades de negócios.</w:t>
      </w:r>
    </w:p>
    <w:bookmarkStart w:id="24" w:name="Casosdeusodeprérequisitoeseguintes"/>
    <w:p>
      <w:pPr>
        <w:pStyle w:val="Heading3"/>
      </w:pPr>
      <w:r>
        <w:t xml:space="preserve">Casos de uso de pré-requisito e seguintes</w:t>
      </w:r>
    </w:p>
    <w:p>
      <w:pPr>
        <w:pStyle w:val="TableCaption"/>
      </w:pPr>
      <w:r>
        <w:t xml:space="preserve">A tabela a seguir mostra como este caso de uso se encaixa na área de solução geral Gerenciamento de riscos de TI e segurança.</w:t>
      </w:r>
    </w:p>
    <w:p>
      <w:pPr>
        <w:pStyle w:val="TableCaption"/>
      </w:pPr>
      <w:r>
        <w:t xml:space="preserve">Para obter informações sobre estes casos de uso do</w:t>
      </w:r>
      <w:r>
        <w:t xml:space="preserve"> </w:t>
      </w:r>
      <w:r>
        <w:t xml:space="preserve">Archer</w:t>
      </w:r>
      <w:r>
        <w:t xml:space="preserve">, consulte a</w:t>
      </w:r>
      <w:r>
        <w:t xml:space="preserve"> </w:t>
      </w:r>
      <w:hyperlink r:id="rId23">
        <w:r>
          <w:rPr>
            <w:rStyle w:val="Hyperlink"/>
          </w:rPr>
          <w:t xml:space="preserve">Ajuda das soluções Archer.</w:t>
        </w:r>
      </w:hyperlink>
    </w:p>
    <w:tbl>
      <w:tblPr>
        <w:tblStyle w:val="Table"/>
        <w:tblW w:type="pct" w:w="5000"/>
        <w:tblLayout w:type="fixed"/>
        <w:tblLook w:firstRow="1" w:lastRow="0" w:firstColumn="0" w:lastColumn="0" w:noHBand="0" w:noVBand="0" w:val="0020"/>
        <w:tblCaption w:val="A tabela a seguir mostra como este caso de uso se encaixa na área de solução geral Gerenciamento de riscos de TI e segurança.Para obter informações sobre estes casos de uso do Archer, consulte a Ajuda das soluções Archer."/>
      </w:tblPr>
      <w:tblGrid>
        <w:gridCol w:w="2613"/>
        <w:gridCol w:w="2613"/>
        <w:gridCol w:w="2692"/>
      </w:tblGrid>
      <w:tr>
        <w:trPr>
          <w:tblHeader w:val="on"/>
        </w:trPr>
        <w:tc>
          <w:tcPr/>
          <w:p>
            <w:pPr>
              <w:jc w:val="center"/>
            </w:pPr>
            <w:r>
              <w:t xml:space="preserve">Pré-requisitos</w:t>
            </w:r>
          </w:p>
        </w:tc>
        <w:tc>
          <w:tcPr/>
          <w:p>
            <w:pPr>
              <w:jc w:val="center"/>
            </w:pPr>
            <w:r>
              <w:t xml:space="preserve">O que você tem</w:t>
            </w:r>
          </w:p>
        </w:tc>
        <w:tc>
          <w:tcPr/>
          <w:p>
            <w:pPr>
              <w:jc w:val="center"/>
            </w:pPr>
            <w:r>
              <w:t xml:space="preserve">O que vem depois</w:t>
            </w:r>
          </w:p>
        </w:tc>
      </w:tr>
      <w:tr>
        <w:tc>
          <w:tcPr/>
          <w:p>
            <w:pPr>
              <w:pStyle w:val="BodyText"/>
            </w:pPr>
            <w:r>
              <w:t xml:space="preserve">Gerenciamento de problemas</w:t>
            </w:r>
          </w:p>
        </w:tc>
        <w:tc>
          <w:tcPr/>
          <w:p>
            <w:pPr>
              <w:pStyle w:val="BodyText"/>
            </w:pPr>
            <w:r>
              <w:t xml:space="preserve">Programa de vulnerabilidades de segurança de TI</w:t>
            </w:r>
          </w:p>
        </w:tc>
        <w:tc>
          <w:tcPr/>
          <w:p>
            <w:pPr>
              <w:pStyle w:val="BodyText"/>
            </w:pPr>
            <w:r>
              <w:rPr>
                <w:i/>
                <w:iCs/>
              </w:rPr>
              <w:t xml:space="preserve">N/D</w:t>
            </w:r>
          </w:p>
        </w:tc>
      </w:tr>
      <w:tr>
        <w:tc>
          <w:tcPr/>
          <w:p>
            <w:pPr>
              <w:pStyle w:val="Compact"/>
              <w:numPr>
                <w:ilvl w:val="0"/>
                <w:numId w:val="1003"/>
              </w:numPr>
            </w:pPr>
            <w:r>
              <w:t xml:space="preserve">Estabelecer sua hierarquia de negócios.</w:t>
            </w:r>
          </w:p>
          <w:p>
            <w:pPr>
              <w:pStyle w:val="Compact"/>
              <w:numPr>
                <w:ilvl w:val="0"/>
                <w:numId w:val="1003"/>
              </w:numPr>
            </w:pPr>
            <w:r>
              <w:t xml:space="preserve">Consolidar e coordenar resultados e planos de remediação a partir de avaliações de risco, conformidade e auditorias, entre outras.</w:t>
            </w:r>
          </w:p>
          <w:p>
            <w:pPr>
              <w:pStyle w:val="Compact"/>
              <w:numPr>
                <w:ilvl w:val="0"/>
                <w:numId w:val="1003"/>
              </w:numPr>
            </w:pPr>
            <w:r>
              <w:t xml:space="preserve">Gerenciar exceções com aprovação/aceitação adequada de riscos</w:t>
            </w:r>
          </w:p>
        </w:tc>
        <w:tc>
          <w:tcPr/>
          <w:p>
            <w:pPr>
              <w:pStyle w:val="Compact"/>
              <w:numPr>
                <w:ilvl w:val="0"/>
                <w:numId w:val="1004"/>
              </w:numPr>
            </w:pPr>
            <w:r>
              <w:t xml:space="preserve">Gerenciar resultados de análise usando um processo simplificado de workflow avançado.</w:t>
            </w:r>
          </w:p>
          <w:p>
            <w:pPr>
              <w:pStyle w:val="Compact"/>
              <w:numPr>
                <w:ilvl w:val="0"/>
                <w:numId w:val="1004"/>
              </w:numPr>
            </w:pPr>
            <w:r>
              <w:t xml:space="preserve">Gerenciar a detecção de ativos com feeds de dados.</w:t>
            </w:r>
          </w:p>
          <w:p>
            <w:pPr>
              <w:pStyle w:val="Compact"/>
              <w:numPr>
                <w:ilvl w:val="0"/>
                <w:numId w:val="1004"/>
              </w:numPr>
            </w:pPr>
            <w:r>
              <w:t xml:space="preserve">Gerenciar a base de conhecimento de ativos de vulnerabilidade.</w:t>
            </w:r>
          </w:p>
        </w:tc>
        <w:tc>
          <w:tcPr/>
          <w:p>
            <w:pPr>
              <w:pStyle w:val="FirstParagraph"/>
            </w:pPr>
            <w:r>
              <w:t xml:space="preserve"> </w:t>
            </w:r>
          </w:p>
        </w:tc>
      </w:tr>
    </w:tbl>
    <w:bookmarkEnd w:id="24"/>
    <w:bookmarkEnd w:id="25"/>
    <w:bookmarkStart w:id="29" w:name="Introdução"/>
    <w:p>
      <w:pPr>
        <w:pStyle w:val="Heading2"/>
      </w:pPr>
      <w:r>
        <w:t xml:space="preserve">Introdução</w:t>
      </w:r>
    </w:p>
    <w:p>
      <w:pPr>
        <w:pStyle w:val="Compact"/>
        <w:numPr>
          <w:ilvl w:val="0"/>
          <w:numId w:val="1005"/>
        </w:numPr>
      </w:pPr>
      <w:hyperlink r:id="rId26">
        <w:r>
          <w:rPr>
            <w:rStyle w:val="Hyperlink"/>
          </w:rPr>
          <w:t xml:space="preserve">Saiba mais sobre a arquitetura de casos de uso</w:t>
        </w:r>
      </w:hyperlink>
    </w:p>
    <w:p>
      <w:pPr>
        <w:pStyle w:val="Compact"/>
        <w:numPr>
          <w:ilvl w:val="0"/>
          <w:numId w:val="1005"/>
        </w:numPr>
      </w:pPr>
      <w:hyperlink r:id="rId27">
        <w:r>
          <w:rPr>
            <w:rStyle w:val="Hyperlink"/>
          </w:rPr>
          <w:t xml:space="preserve">Saiba como funciona o caso de uso</w:t>
        </w:r>
      </w:hyperlink>
    </w:p>
    <w:p>
      <w:pPr>
        <w:pStyle w:val="Compact"/>
        <w:numPr>
          <w:ilvl w:val="0"/>
          <w:numId w:val="1005"/>
        </w:numPr>
      </w:pPr>
      <w:hyperlink r:id="rId28">
        <w:r>
          <w:rPr>
            <w:rStyle w:val="Hyperlink"/>
          </w:rPr>
          <w:t xml:space="preserve">Instalar e configurar o caso de uso</w:t>
        </w:r>
      </w:hyperlink>
    </w:p>
    <w:bookmarkEnd w:id="29"/>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help.archerirm.cloud/archer_suite_help/en-us/Content/PortalHome/SolutionsHome/sol_home.htm" TargetMode="External" /><Relationship Type="http://schemas.openxmlformats.org/officeDocument/2006/relationships/hyperlink" Id="rId21" Target="https://www.archerirm.community/t5/solution-use-case-overviews/archer-solutions-amp-use-cases/ba-p/572564" TargetMode="External" /><Relationship Type="http://schemas.openxmlformats.org/officeDocument/2006/relationships/hyperlink" Id="rId26" Target="itsrm_vulnmgt_design.htm" TargetMode="External" /><Relationship Type="http://schemas.openxmlformats.org/officeDocument/2006/relationships/hyperlink" Id="rId28" Target="itsrm_vulnmgt_install.htm" TargetMode="External" /><Relationship Type="http://schemas.openxmlformats.org/officeDocument/2006/relationships/hyperlink" Id="rId27" Target="itsrm_vulnmgt_using_overview.htm" TargetMode="External" /></Relationships>
</file>

<file path=word/_rels/footnotes.xml.rels><?xml version="1.0" encoding="UTF-8"?><Relationships xmlns="http://schemas.openxmlformats.org/package/2006/relationships"><Relationship Type="http://schemas.openxmlformats.org/officeDocument/2006/relationships/hyperlink" Id="rId23" Target="https://help.archerirm.cloud/archer_suite_help/en-us/Content/PortalHome/SolutionsHome/sol_home.htm" TargetMode="External" /><Relationship Type="http://schemas.openxmlformats.org/officeDocument/2006/relationships/hyperlink" Id="rId21" Target="https://www.archerirm.community/t5/solution-use-case-overviews/archer-solutions-amp-use-cases/ba-p/572564" TargetMode="External" /><Relationship Type="http://schemas.openxmlformats.org/officeDocument/2006/relationships/hyperlink" Id="rId26" Target="itsrm_vulnmgt_design.htm" TargetMode="External" /><Relationship Type="http://schemas.openxmlformats.org/officeDocument/2006/relationships/hyperlink" Id="rId28" Target="itsrm_vulnmgt_install.htm" TargetMode="External" /><Relationship Type="http://schemas.openxmlformats.org/officeDocument/2006/relationships/hyperlink" Id="rId27" Target="itsrm_vulnmgt_using_overview.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2025-03-06T14:47:10Z</dcterms:created>
  <dcterms:modified xsi:type="dcterms:W3CDTF">2025-03-06T14:47:10Z</dcterms:modified>
</cp:coreProperties>
</file>

<file path=docProps/custom.xml><?xml version="1.0" encoding="utf-8"?>
<Properties xmlns="http://schemas.openxmlformats.org/officeDocument/2006/custom-properties" xmlns:vt="http://schemas.openxmlformats.org/officeDocument/2006/docPropsVTypes"/>
</file>