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c-main-content"/>
    <w:bookmarkStart w:id="22" w:name="X9afad616b07332b6b263273005756b518c3c9ed"/>
    <w:p>
      <w:pPr>
        <w:pStyle w:val="Heading1"/>
      </w:pPr>
      <w:r>
        <w:t xml:space="preserve">Usando o Programa de vulnerabilidades de segurança de TI</w:t>
      </w:r>
    </w:p>
    <w:p>
      <w:pPr>
        <w:pStyle w:val="FirstParagraph"/>
      </w:pPr>
      <w:r>
        <w:t xml:space="preserve">O caso de uso do Programa de vulnerabilidades de segurança de TI do</w:t>
      </w:r>
      <w:r>
        <w:t xml:space="preserve"> </w:t>
      </w:r>
      <w:r>
        <w:t xml:space="preserve">Archer</w:t>
      </w:r>
      <w:r>
        <w:t xml:space="preserve"> </w:t>
      </w:r>
      <w:r>
        <w:t xml:space="preserve">oferece suporte aos processos a seguir.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Gerenciandoresultadosdean%C3%A1lises">
        <w:r>
          <w:rPr>
            <w:rStyle w:val="Hyperlink"/>
          </w:rPr>
          <w:t xml:space="preserve">Gerenciando resultados de análises</w:t>
        </w:r>
      </w:hyperlink>
    </w:p>
    <w:p>
      <w:pPr>
        <w:pStyle w:val="Compact"/>
        <w:numPr>
          <w:ilvl w:val="0"/>
          <w:numId w:val="1001"/>
        </w:numPr>
      </w:pPr>
      <w:hyperlink w:anchor="Gerenciandoadetec%C3%A7%C3%A3odeativos">
        <w:r>
          <w:rPr>
            <w:rStyle w:val="Hyperlink"/>
          </w:rPr>
          <w:t xml:space="preserve">Gerenciando a detecção de ativos</w:t>
        </w:r>
      </w:hyperlink>
    </w:p>
    <w:bookmarkStart w:id="20" w:name="Gerenciandoresultadosdeanálises"/>
    <w:p>
      <w:pPr>
        <w:pStyle w:val="Heading2"/>
      </w:pPr>
      <w:r>
        <w:t xml:space="preserve">Gerenciando resultados de análises</w:t>
      </w:r>
    </w:p>
    <w:p>
      <w:pPr>
        <w:pStyle w:val="FirstParagraph"/>
      </w:pPr>
      <w:r>
        <w:t xml:space="preserve">O workflow principal para o caso de uso do Programa vulnerabilidades de segurança de TI coleta dados de análise de dispositivo de várias origens e faz a referência cruzada com esses dados com relação às vulnerabilidades conhecidas. A emissão de tíquetes de vulnerabilidades encontradas nos dados de análise de dispositivo ocorre através de processos automatizados e manuais. Depois que um tíquete de vulnerabilidade é atribuído ao administrador de TI apropriado, o administrador de TI pode resolvê-lo de várias maneiras.</w:t>
      </w:r>
    </w:p>
    <w:bookmarkEnd w:id="20"/>
    <w:bookmarkStart w:id="21" w:name="Gerenciandoadetecçãodeativos"/>
    <w:p>
      <w:pPr>
        <w:pStyle w:val="Heading2"/>
      </w:pPr>
      <w:r>
        <w:t xml:space="preserve">Gerenciando a detecção de ativos</w:t>
      </w:r>
    </w:p>
    <w:p>
      <w:pPr>
        <w:pStyle w:val="FirstParagraph"/>
      </w:pPr>
      <w:r>
        <w:t xml:space="preserve">Se você tiver o caso de uso Gerenciamento de riscos de TI licenciado, poderá concluir as tarefas para gerenciar a detecção de ativos. Conforme novos ativos são adicionados ao aplicativo Biblioteca de vulnerabilidades pelos feeds de dados do Programa de vulnerabilidades de segurança de TI, esses ativos devem ser atribuídos a um proprietário. Os proprietários dos ativos podem então preencher as avaliações de dispositivo, aplicativo e impacto nos negócios para fornecer uma classificação de risco de linha de base a ser usada em todo o caso de uso.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2025-03-06T14:47:17Z</dcterms:created>
  <dcterms:modified xsi:type="dcterms:W3CDTF">2025-03-06T14:47:17Z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