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c-main-content"/>
    <w:bookmarkStart w:id="31" w:name="Xe2477b09ddaf32f7fdb26d4e16c87e424ae5d64"/>
    <w:p>
      <w:pPr>
        <w:pStyle w:val="Heading1"/>
      </w:pPr>
      <w:r>
        <w:t xml:space="preserve">Archer Audit Engagements &amp; Workpapers 2024.11</w:t>
      </w:r>
    </w:p>
    <w:p>
      <w:pPr>
        <w:pStyle w:val="FirstParagraph"/>
      </w:pPr>
      <w:r>
        <w:t xml:space="preserve">Audit Engagements &amp; Workpapers enables you to track your audit universe, perform audit engagements, maintain workpaper documentation, perform testing, and report on audit results in a consistent and timely manner.</w:t>
      </w:r>
    </w:p>
    <w:p>
      <w:pPr>
        <w:pStyle w:val="BodyText"/>
      </w:pPr>
      <w:r>
        <w:t xml:space="preserve">On this page</w:t>
      </w:r>
    </w:p>
    <w:p>
      <w:pPr>
        <w:pStyle w:val="Compact"/>
        <w:numPr>
          <w:ilvl w:val="0"/>
          <w:numId w:val="1001"/>
        </w:numPr>
      </w:pPr>
      <w:hyperlink w:anchor="X25d16bd43c56eb832c0caa7ffacaa55d3395afe">
        <w:r>
          <w:rPr>
            <w:rStyle w:val="Hyperlink"/>
          </w:rPr>
          <w:t xml:space="preserve">Benefits of the Audit Engagements &amp; Workpapers Use Case</w:t>
        </w:r>
      </w:hyperlink>
    </w:p>
    <w:p>
      <w:pPr>
        <w:pStyle w:val="Compact"/>
        <w:numPr>
          <w:ilvl w:val="0"/>
          <w:numId w:val="1001"/>
        </w:numPr>
      </w:pPr>
      <w:hyperlink w:anchor="X179289c82393fc972b3b1496e6c4c904263f964">
        <w:r>
          <w:rPr>
            <w:rStyle w:val="Hyperlink"/>
          </w:rPr>
          <w:t xml:space="preserve">How Audit Engagements &amp; Workpapers Fits into a Risk and Compliance Program</w:t>
        </w:r>
      </w:hyperlink>
    </w:p>
    <w:p>
      <w:pPr>
        <w:pStyle w:val="Compact"/>
        <w:numPr>
          <w:ilvl w:val="0"/>
          <w:numId w:val="1001"/>
        </w:numPr>
      </w:pPr>
    </w:p>
    <w:p>
      <w:pPr>
        <w:pStyle w:val="Compact"/>
        <w:numPr>
          <w:ilvl w:val="1"/>
          <w:numId w:val="1002"/>
        </w:numPr>
      </w:pPr>
      <w:hyperlink w:anchor="PrerequisiteandNextUseCases">
        <w:r>
          <w:rPr>
            <w:rStyle w:val="Hyperlink"/>
          </w:rPr>
          <w:t xml:space="preserve">Prerequisite and Next Use Cases</w:t>
        </w:r>
      </w:hyperlink>
    </w:p>
    <w:p>
      <w:pPr>
        <w:pStyle w:val="Compact"/>
        <w:numPr>
          <w:ilvl w:val="1"/>
          <w:numId w:val="1002"/>
        </w:numPr>
      </w:pPr>
      <w:hyperlink w:anchor="RelatedUseCasesinOtherSolutionAreas">
        <w:r>
          <w:rPr>
            <w:rStyle w:val="Hyperlink"/>
          </w:rPr>
          <w:t xml:space="preserve">Related Use Cases in Other Solution Areas</w:t>
        </w:r>
      </w:hyperlink>
    </w:p>
    <w:p>
      <w:pPr>
        <w:pStyle w:val="Compact"/>
        <w:numPr>
          <w:ilvl w:val="0"/>
          <w:numId w:val="1001"/>
        </w:numPr>
      </w:pPr>
      <w:hyperlink w:anchor="GetStarted">
        <w:r>
          <w:rPr>
            <w:rStyle w:val="Hyperlink"/>
          </w:rPr>
          <w:t xml:space="preserve">Get Started</w:t>
        </w:r>
      </w:hyperlink>
    </w:p>
    <w:bookmarkStart w:id="21" w:name="X25d16bd43c56eb832c0caa7ffacaa55d3395afe"/>
    <w:p>
      <w:pPr>
        <w:pStyle w:val="Heading2"/>
      </w:pPr>
      <w:r>
        <w:t xml:space="preserve">Benefits of the Audit Engagements &amp; Workpapers Use Case</w:t>
      </w:r>
    </w:p>
    <w:p>
      <w:pPr>
        <w:pStyle w:val="FirstParagraph"/>
      </w:pPr>
      <w:r>
        <w:t xml:space="preserve">Archer</w:t>
      </w:r>
      <w:r>
        <w:t xml:space="preserve"> </w:t>
      </w:r>
      <w:r>
        <w:t xml:space="preserve">Audit Engagements &amp; Workpapers helps you transform the efficiency of your audit department, complete better-scoped audits more quickly, and decrease internal audit time and external audit fees.</w:t>
      </w:r>
    </w:p>
    <w:p>
      <w:pPr>
        <w:pStyle w:val="BodyText"/>
      </w:pPr>
      <w:r>
        <w:t xml:space="preserve">For the key features and benefits of this use case, see the Data Sheet on the</w:t>
      </w:r>
      <w:r>
        <w:t xml:space="preserve"> </w:t>
      </w:r>
      <w:r>
        <w:t xml:space="preserve">Archer Community</w:t>
      </w:r>
      <w:r>
        <w:t xml:space="preserve">:</w:t>
      </w:r>
      <w:r>
        <w:t xml:space="preserve"> </w:t>
      </w:r>
      <w:hyperlink r:id="rId20">
        <w:r>
          <w:rPr>
            <w:rStyle w:val="Hyperlink"/>
          </w:rPr>
          <w:t xml:space="preserve">https://www.archerirm.community/t5/solution-use-case-overviews/archer-solutions-amp-use-cases/ba-p/572564</w:t>
        </w:r>
      </w:hyperlink>
    </w:p>
    <w:bookmarkEnd w:id="21"/>
    <w:bookmarkStart w:id="26" w:name="X179289c82393fc972b3b1496e6c4c904263f964"/>
    <w:p>
      <w:pPr>
        <w:pStyle w:val="Heading2"/>
      </w:pPr>
      <w:r>
        <w:t xml:space="preserve">How Audit Engagements &amp; Workpapers Fits into a Risk and Compliance Program</w:t>
      </w:r>
    </w:p>
    <w:p>
      <w:pPr>
        <w:pStyle w:val="FirstParagraph"/>
      </w:pPr>
      <w:r>
        <w:t xml:space="preserve">Audit Engagements &amp; Workpapers is a use case in the Audit Management solution area. The following sections describe the use cases that Audit Engagements &amp; Workpapers requires as a prerequisite, which use cases you can upgrade to as your audit program matures, and which use cases in other solution areas you can integrate for additional business context and functionality.</w:t>
      </w:r>
    </w:p>
    <w:bookmarkStart w:id="22" w:name="PrerequisiteandNextUseCases"/>
    <w:p>
      <w:pPr>
        <w:pStyle w:val="Heading3"/>
      </w:pPr>
      <w:r>
        <w:t xml:space="preserve">Prerequisite and Next Use Cases</w:t>
      </w:r>
    </w:p>
    <w:p>
      <w:pPr>
        <w:pStyle w:val="TableCaption"/>
      </w:pPr>
      <w:r>
        <w:t xml:space="preserve">The following table shows how this use case fits into the overall Audit Management solution area.</w:t>
      </w:r>
    </w:p>
    <w:tbl>
      <w:tblPr>
        <w:tblStyle w:val="Table"/>
        <w:tblW w:type="pct" w:w="5000"/>
        <w:tblLayout w:type="fixed"/>
        <w:tblLook w:firstRow="1" w:lastRow="0" w:firstColumn="0" w:lastColumn="0" w:noHBand="0" w:noVBand="0" w:val="0020"/>
        <w:tblCaption w:val="The following table shows how this use case fits into the overall Audit Management solution area."/>
      </w:tblPr>
      <w:tblGrid>
        <w:gridCol w:w="2613"/>
        <w:gridCol w:w="2613"/>
        <w:gridCol w:w="2692"/>
      </w:tblGrid>
      <w:tr>
        <w:trPr>
          <w:tblHeader w:val="on"/>
        </w:trPr>
        <w:tc>
          <w:tcPr/>
          <w:p>
            <w:pPr>
              <w:jc w:val="center"/>
            </w:pPr>
            <w:r>
              <w:t xml:space="preserve">Prerequisites</w:t>
            </w:r>
          </w:p>
        </w:tc>
        <w:tc>
          <w:tcPr/>
          <w:p>
            <w:pPr>
              <w:jc w:val="center"/>
            </w:pPr>
            <w:r>
              <w:t xml:space="preserve">What you have</w:t>
            </w:r>
          </w:p>
        </w:tc>
        <w:tc>
          <w:tcPr/>
          <w:p>
            <w:pPr>
              <w:jc w:val="center"/>
            </w:pPr>
            <w:r>
              <w:t xml:space="preserve">What's next</w:t>
            </w:r>
          </w:p>
        </w:tc>
      </w:tr>
      <w:tr>
        <w:tc>
          <w:tcPr/>
          <w:p>
            <w:pPr>
              <w:pStyle w:val="BodyText"/>
            </w:pPr>
            <w:r>
              <w:t xml:space="preserve">Issues Management</w:t>
            </w:r>
          </w:p>
        </w:tc>
        <w:tc>
          <w:tcPr/>
          <w:p>
            <w:pPr>
              <w:pStyle w:val="BodyText"/>
            </w:pPr>
            <w:r>
              <w:t xml:space="preserve">Audit Engagements &amp; Workpapers</w:t>
            </w:r>
          </w:p>
        </w:tc>
        <w:tc>
          <w:tcPr/>
          <w:p>
            <w:pPr>
              <w:pStyle w:val="BodyText"/>
            </w:pPr>
            <w:r>
              <w:t xml:space="preserve">Audit Planning &amp; Quality</w:t>
            </w:r>
          </w:p>
        </w:tc>
      </w:tr>
      <w:tr>
        <w:tc>
          <w:tcPr/>
          <w:p>
            <w:pPr>
              <w:pStyle w:val="Compact"/>
              <w:numPr>
                <w:ilvl w:val="0"/>
                <w:numId w:val="1003"/>
              </w:numPr>
            </w:pPr>
            <w:r>
              <w:t xml:space="preserve">Establish your business hierarchy</w:t>
            </w:r>
          </w:p>
          <w:p>
            <w:pPr>
              <w:pStyle w:val="Compact"/>
              <w:numPr>
                <w:ilvl w:val="0"/>
                <w:numId w:val="1003"/>
              </w:numPr>
            </w:pPr>
            <w:r>
              <w:t xml:space="preserve">Consolidate and coordinate findings and remediation plans from risk, compliance, audits, and other assessments</w:t>
            </w:r>
          </w:p>
          <w:p>
            <w:pPr>
              <w:pStyle w:val="Compact"/>
              <w:numPr>
                <w:ilvl w:val="0"/>
                <w:numId w:val="1003"/>
              </w:numPr>
            </w:pPr>
            <w:r>
              <w:t xml:space="preserve">Manage exceptions with appropriate risk sign-off acceptance</w:t>
            </w:r>
          </w:p>
        </w:tc>
        <w:tc>
          <w:tcPr/>
          <w:p>
            <w:pPr>
              <w:pStyle w:val="Compact"/>
              <w:numPr>
                <w:ilvl w:val="0"/>
                <w:numId w:val="1004"/>
              </w:numPr>
            </w:pPr>
            <w:r>
              <w:t xml:space="preserve">Document your audit universe</w:t>
            </w:r>
          </w:p>
          <w:p>
            <w:pPr>
              <w:pStyle w:val="Compact"/>
              <w:numPr>
                <w:ilvl w:val="0"/>
                <w:numId w:val="1004"/>
              </w:numPr>
            </w:pPr>
            <w:r>
              <w:t xml:space="preserve">Create audit engagements and workpapers</w:t>
            </w:r>
          </w:p>
          <w:p>
            <w:pPr>
              <w:pStyle w:val="Compact"/>
              <w:numPr>
                <w:ilvl w:val="0"/>
                <w:numId w:val="1004"/>
              </w:numPr>
            </w:pPr>
            <w:r>
              <w:t xml:space="preserve">Create a centralized Audit Program Library and workpaper repository</w:t>
            </w:r>
          </w:p>
          <w:p>
            <w:pPr>
              <w:pStyle w:val="Compact"/>
              <w:numPr>
                <w:ilvl w:val="0"/>
                <w:numId w:val="1004"/>
              </w:numPr>
            </w:pPr>
            <w:r>
              <w:t xml:space="preserve">Perform audit testing</w:t>
            </w:r>
          </w:p>
          <w:p>
            <w:pPr>
              <w:pStyle w:val="Compact"/>
              <w:numPr>
                <w:ilvl w:val="0"/>
                <w:numId w:val="1004"/>
              </w:numPr>
            </w:pPr>
            <w:r>
              <w:t xml:space="preserve">Manage audit findings and remediation plans, and capture audit observations</w:t>
            </w:r>
          </w:p>
        </w:tc>
        <w:tc>
          <w:tcPr/>
          <w:p>
            <w:pPr>
              <w:pStyle w:val="Compact"/>
              <w:numPr>
                <w:ilvl w:val="0"/>
                <w:numId w:val="1005"/>
              </w:numPr>
            </w:pPr>
            <w:r>
              <w:t xml:space="preserve">Plan audits based on risk assessments</w:t>
            </w:r>
          </w:p>
          <w:p>
            <w:pPr>
              <w:numPr>
                <w:ilvl w:val="0"/>
                <w:numId w:val="1005"/>
              </w:numPr>
            </w:pPr>
            <w:r>
              <w:t xml:space="preserve">Manage staff and schedule audits</w:t>
            </w:r>
          </w:p>
          <w:p>
            <w:pPr>
              <w:numPr>
                <w:ilvl w:val="0"/>
                <w:numId w:val="1005"/>
              </w:numPr>
            </w:pPr>
            <w:r>
              <w:t xml:space="preserve">Create audit plans</w:t>
            </w:r>
          </w:p>
          <w:p>
            <w:pPr>
              <w:pStyle w:val="Compact"/>
              <w:numPr>
                <w:ilvl w:val="0"/>
                <w:numId w:val="1005"/>
              </w:numPr>
            </w:pPr>
            <w:r>
              <w:t xml:space="preserve">Evaluate the audit team</w:t>
            </w:r>
          </w:p>
        </w:tc>
      </w:tr>
      <w:tr>
        <w:tc>
          <w:tcPr/>
          <w:p>
            <w:pPr>
              <w:pStyle w:val="FirstParagraph"/>
            </w:pPr>
            <w:r>
              <w:t xml:space="preserve">Enterprise Catalog</w:t>
            </w:r>
          </w:p>
        </w:tc>
        <w:tc>
          <w:tcPr/>
          <w:p>
            <w:pPr>
              <w:pStyle w:val="Compact"/>
            </w:pPr>
            <w:r>
              <w:t xml:space="preserve"> </w:t>
            </w:r>
          </w:p>
        </w:tc>
        <w:tc>
          <w:tcPr/>
          <w:p>
            <w:pPr>
              <w:pStyle w:val="Compact"/>
            </w:pPr>
            <w:r>
              <w:t xml:space="preserve"> </w:t>
            </w:r>
          </w:p>
        </w:tc>
      </w:tr>
    </w:tbl>
    <w:bookmarkEnd w:id="22"/>
    <w:bookmarkStart w:id="25" w:name="RelatedUseCasesinOtherSolutionAreas"/>
    <w:p>
      <w:pPr>
        <w:pStyle w:val="Heading3"/>
      </w:pPr>
      <w:bookmarkStart w:id="23" w:name="Related"/>
      <w:bookmarkEnd w:id="23"/>
      <w:r>
        <w:t xml:space="preserve">Related Use Cases in Other Solution Areas</w:t>
      </w:r>
    </w:p>
    <w:p>
      <w:pPr>
        <w:pStyle w:val="TableCaption"/>
      </w:pPr>
      <w:r>
        <w:t xml:space="preserve">The following table shows the use cases in other solution areas you can integrate for additional business context and functionality.</w:t>
      </w:r>
    </w:p>
    <w:p>
      <w:pPr>
        <w:pStyle w:val="TableCaption"/>
      </w:pPr>
      <w:r>
        <w:t xml:space="preserve">For information on these</w:t>
      </w:r>
      <w:r>
        <w:t xml:space="preserve"> </w:t>
      </w:r>
      <w:r>
        <w:t xml:space="preserve">Archer</w:t>
      </w:r>
      <w:r>
        <w:t xml:space="preserve"> </w:t>
      </w:r>
      <w:r>
        <w:t xml:space="preserve">use cases, see the </w:t>
      </w:r>
      <w:hyperlink r:id="rId24">
        <w:r>
          <w:rPr>
            <w:rStyle w:val="Hyperlink"/>
          </w:rPr>
          <w:t xml:space="preserve">Archer Solutions Help.</w:t>
        </w:r>
      </w:hyperlink>
    </w:p>
    <w:tbl>
      <w:tblPr>
        <w:tblStyle w:val="Table"/>
        <w:tblW w:type="auto" w:w="0"/>
        <w:tblLook w:firstRow="1" w:lastRow="0" w:firstColumn="0" w:lastColumn="0" w:noHBand="0" w:noVBand="0" w:val="0020"/>
        <w:tblCaption w:val="The following table shows the use cases in other solution areas you can integrate for additional business context and functionality.For information on these Archer use cases, see the Archer Solutions Help."/>
      </w:tblPr>
      <w:tblGrid>
        <w:gridCol w:w="2640"/>
        <w:gridCol w:w="2640"/>
        <w:gridCol w:w="2640"/>
      </w:tblGrid>
      <w:tr>
        <w:trPr>
          <w:tblHeader w:val="on"/>
        </w:trPr>
        <w:tc>
          <w:tcPr/>
          <w:p>
            <w:pPr>
              <w:pStyle w:val="BodyText"/>
            </w:pPr>
            <w:r>
              <w:t xml:space="preserve">Application</w:t>
            </w:r>
          </w:p>
        </w:tc>
        <w:tc>
          <w:tcPr/>
          <w:p>
            <w:pPr>
              <w:pStyle w:val="BodyText"/>
            </w:pPr>
            <w:r>
              <w:t xml:space="preserve">Use Cases</w:t>
            </w:r>
          </w:p>
        </w:tc>
        <w:tc>
          <w:tcPr/>
          <w:p>
            <w:pPr>
              <w:pStyle w:val="BodyText"/>
            </w:pPr>
            <w:r>
              <w:t xml:space="preserve">Primary Purpose(s) of the Relationship</w:t>
            </w:r>
          </w:p>
        </w:tc>
      </w:tr>
      <w:tr>
        <w:tc>
          <w:tcPr/>
          <w:p>
            <w:pPr>
              <w:pStyle w:val="BodyText"/>
            </w:pPr>
            <w:r>
              <w:t xml:space="preserve">Control Procedures / Control sets</w:t>
            </w:r>
          </w:p>
        </w:tc>
        <w:tc>
          <w:tcPr/>
          <w:p>
            <w:pPr>
              <w:pStyle w:val="BodyText"/>
            </w:pPr>
            <w:r>
              <w:t xml:space="preserve">Controls Assurance Program Management</w:t>
            </w:r>
          </w:p>
          <w:p>
            <w:pPr>
              <w:pStyle w:val="BodyText"/>
            </w:pPr>
            <w:r>
              <w:t xml:space="preserve"> </w:t>
            </w:r>
          </w:p>
          <w:p>
            <w:pPr>
              <w:pStyle w:val="BodyText"/>
            </w:pPr>
            <w:r>
              <w:t xml:space="preserve">IT Controls Assurance</w:t>
            </w:r>
          </w:p>
          <w:p>
            <w:pPr>
              <w:pStyle w:val="BodyText"/>
            </w:pPr>
            <w:r>
              <w:t xml:space="preserve"> </w:t>
            </w:r>
          </w:p>
          <w:p>
            <w:pPr>
              <w:pStyle w:val="BodyText"/>
            </w:pPr>
            <w:r>
              <w:t xml:space="preserve">IT Risk Management</w:t>
            </w:r>
          </w:p>
          <w:p>
            <w:pPr>
              <w:pStyle w:val="BodyText"/>
            </w:pPr>
            <w:r>
              <w:t xml:space="preserve"> </w:t>
            </w:r>
          </w:p>
          <w:p>
            <w:pPr>
              <w:pStyle w:val="BodyText"/>
            </w:pPr>
            <w:r>
              <w:t xml:space="preserve">Risk Inventory and Top-Down Assessment</w:t>
            </w:r>
          </w:p>
        </w:tc>
        <w:tc>
          <w:tcPr/>
          <w:p>
            <w:pPr>
              <w:pStyle w:val="BodyText"/>
            </w:pPr>
            <w:r>
              <w:t xml:space="preserve">When you scope by Control Procedures as an audit entity, this allows the Data Feed Manager to populate the related risks and controls associated with the Control Procedures record.</w:t>
            </w:r>
          </w:p>
        </w:tc>
      </w:tr>
      <w:tr>
        <w:tc>
          <w:tcPr/>
          <w:p>
            <w:pPr>
              <w:pStyle w:val="BodyText"/>
            </w:pPr>
            <w:r>
              <w:t xml:space="preserve">Risks (formerly Risk Register)</w:t>
            </w:r>
          </w:p>
        </w:tc>
        <w:tc>
          <w:tcPr/>
          <w:p>
            <w:pPr>
              <w:pStyle w:val="BodyText"/>
            </w:pPr>
            <w:r>
              <w:t xml:space="preserve">Risk Catalog</w:t>
            </w:r>
          </w:p>
          <w:p>
            <w:pPr>
              <w:pStyle w:val="BodyText"/>
            </w:pPr>
            <w:r>
              <w:t xml:space="preserve">Risk Inventory and Top-Down Assessment</w:t>
            </w:r>
          </w:p>
          <w:p>
            <w:pPr>
              <w:pStyle w:val="BodyText"/>
            </w:pPr>
            <w:r>
              <w:t xml:space="preserve">ISMS</w:t>
            </w:r>
          </w:p>
          <w:p>
            <w:pPr>
              <w:pStyle w:val="BodyText"/>
            </w:pPr>
            <w:r>
              <w:t xml:space="preserve">IT Risk Management</w:t>
            </w:r>
          </w:p>
        </w:tc>
        <w:tc>
          <w:tcPr/>
          <w:p>
            <w:pPr>
              <w:pStyle w:val="BodyText"/>
            </w:pPr>
            <w:r>
              <w:t xml:space="preserve">When you scope by Risks as an audit entity, this allows the Data Feed Manager to populate the related risks and controls associated with the Risks record.</w:t>
            </w:r>
          </w:p>
        </w:tc>
      </w:tr>
      <w:tr>
        <w:tc>
          <w:tcPr/>
          <w:p>
            <w:pPr>
              <w:pStyle w:val="BodyText"/>
            </w:pPr>
            <w:r>
              <w:t xml:space="preserve">Process Narratives</w:t>
            </w:r>
          </w:p>
        </w:tc>
        <w:tc>
          <w:tcPr/>
          <w:p>
            <w:pPr>
              <w:pStyle w:val="BodyText"/>
            </w:pPr>
            <w:r>
              <w:t xml:space="preserve">Financial Controls Monitoring</w:t>
            </w:r>
          </w:p>
        </w:tc>
        <w:tc>
          <w:tcPr/>
          <w:p>
            <w:pPr>
              <w:pStyle w:val="BodyText"/>
            </w:pPr>
            <w:r>
              <w:t xml:space="preserve">When you scope by Process Narratives into an audit entity, this allows the Data Feed Manager to populate the related risks and controls associated with the Process Narratives record.</w:t>
            </w:r>
          </w:p>
        </w:tc>
      </w:tr>
      <w:tr>
        <w:tc>
          <w:tcPr/>
          <w:p>
            <w:pPr>
              <w:pStyle w:val="BodyText"/>
            </w:pPr>
            <w:r>
              <w:t xml:space="preserve">Business Unit</w:t>
            </w:r>
          </w:p>
        </w:tc>
        <w:tc>
          <w:tcPr/>
          <w:p>
            <w:pPr>
              <w:pStyle w:val="BodyText"/>
            </w:pPr>
            <w:r>
              <w:t xml:space="preserve">IT Asset Catalog</w:t>
            </w:r>
          </w:p>
          <w:p>
            <w:pPr>
              <w:pStyle w:val="BodyText"/>
            </w:pPr>
            <w:r>
              <w:t xml:space="preserve">Cyber Incident &amp; Breach Response</w:t>
            </w:r>
          </w:p>
        </w:tc>
        <w:tc>
          <w:tcPr/>
          <w:p>
            <w:pPr>
              <w:pStyle w:val="BodyText"/>
            </w:pPr>
            <w:r>
              <w:t xml:space="preserve">When you scope by Business Units as an audit entity, this allows the Data Feed Manager to populate the related risks and controls associated with the Business Unit record.</w:t>
            </w:r>
          </w:p>
        </w:tc>
      </w:tr>
      <w:tr>
        <w:tc>
          <w:tcPr/>
          <w:p>
            <w:pPr>
              <w:pStyle w:val="BodyText"/>
            </w:pPr>
            <w:r>
              <w:t xml:space="preserve">Applications</w:t>
            </w:r>
          </w:p>
        </w:tc>
        <w:tc>
          <w:tcPr/>
          <w:p>
            <w:pPr>
              <w:pStyle w:val="BodyText"/>
            </w:pPr>
            <w:r>
              <w:t xml:space="preserve">Audit Engagements &amp; Workpapers</w:t>
            </w:r>
          </w:p>
          <w:p>
            <w:pPr>
              <w:pStyle w:val="BodyText"/>
            </w:pPr>
            <w:r>
              <w:t xml:space="preserve">Business Continuity &amp; IT Disaster Recovery Planning</w:t>
            </w:r>
          </w:p>
          <w:p>
            <w:pPr>
              <w:pStyle w:val="BodyText"/>
            </w:pPr>
            <w:r>
              <w:t xml:space="preserve">Third Party Governance</w:t>
            </w:r>
          </w:p>
          <w:p>
            <w:pPr>
              <w:pStyle w:val="BodyText"/>
            </w:pPr>
            <w:r>
              <w:t xml:space="preserve">IT Asset Catalog</w:t>
            </w:r>
          </w:p>
          <w:p>
            <w:pPr>
              <w:pStyle w:val="BodyText"/>
            </w:pPr>
            <w:r>
              <w:t xml:space="preserve">IT Controls Assurance</w:t>
            </w:r>
          </w:p>
          <w:p>
            <w:pPr>
              <w:pStyle w:val="BodyText"/>
            </w:pPr>
            <w:r>
              <w:t xml:space="preserve">Information Security Management System</w:t>
            </w:r>
          </w:p>
          <w:p>
            <w:pPr>
              <w:pStyle w:val="BodyText"/>
            </w:pPr>
            <w:r>
              <w:t xml:space="preserve">PCI Management</w:t>
            </w:r>
          </w:p>
          <w:p>
            <w:pPr>
              <w:pStyle w:val="BodyText"/>
            </w:pPr>
            <w:r>
              <w:t xml:space="preserve">IT Security Vulnerabilities Program</w:t>
            </w:r>
          </w:p>
          <w:p>
            <w:pPr>
              <w:pStyle w:val="BodyText"/>
            </w:pPr>
            <w:r>
              <w:t xml:space="preserve">IT Risk Management</w:t>
            </w:r>
          </w:p>
          <w:p>
            <w:pPr>
              <w:pStyle w:val="BodyText"/>
            </w:pPr>
            <w:r>
              <w:t xml:space="preserve">Cyber Incident &amp; Breach Response</w:t>
            </w:r>
          </w:p>
          <w:p>
            <w:pPr>
              <w:pStyle w:val="BodyText"/>
            </w:pPr>
            <w:r>
              <w:t xml:space="preserve">Data Governance</w:t>
            </w:r>
          </w:p>
          <w:p>
            <w:pPr>
              <w:pStyle w:val="BodyText"/>
            </w:pPr>
            <w:r>
              <w:t xml:space="preserve">Operational Risk Management</w:t>
            </w:r>
          </w:p>
        </w:tc>
        <w:tc>
          <w:tcPr/>
          <w:p>
            <w:pPr>
              <w:pStyle w:val="BodyText"/>
            </w:pPr>
            <w:r>
              <w:t xml:space="preserve">When you scope by Applications as an audit entity, this allows the Data Feed Manager to populate the related risks and controls associated with the Application record.</w:t>
            </w:r>
          </w:p>
        </w:tc>
      </w:tr>
      <w:tr>
        <w:tc>
          <w:tcPr/>
          <w:p>
            <w:pPr>
              <w:pStyle w:val="BodyText"/>
            </w:pPr>
            <w:r>
              <w:t xml:space="preserve">Facilities</w:t>
            </w:r>
          </w:p>
        </w:tc>
        <w:tc>
          <w:tcPr/>
          <w:p>
            <w:pPr>
              <w:pStyle w:val="BodyText"/>
            </w:pPr>
            <w:r>
              <w:t xml:space="preserve">Audit Engagements &amp; Workpapers</w:t>
            </w:r>
          </w:p>
          <w:p>
            <w:pPr>
              <w:pStyle w:val="BodyText"/>
            </w:pPr>
            <w:r>
              <w:t xml:space="preserve">Business Continuity &amp; IT Disaster Recovery Planning</w:t>
            </w:r>
          </w:p>
          <w:p>
            <w:pPr>
              <w:pStyle w:val="BodyText"/>
            </w:pPr>
            <w:r>
              <w:t xml:space="preserve">IT Controls Assurance</w:t>
            </w:r>
          </w:p>
          <w:p>
            <w:pPr>
              <w:pStyle w:val="BodyText"/>
            </w:pPr>
            <w:r>
              <w:t xml:space="preserve">Information Security Management System</w:t>
            </w:r>
          </w:p>
          <w:p>
            <w:pPr>
              <w:pStyle w:val="BodyText"/>
            </w:pPr>
            <w:r>
              <w:t xml:space="preserve">PCI Management</w:t>
            </w:r>
          </w:p>
          <w:p>
            <w:pPr>
              <w:pStyle w:val="BodyText"/>
            </w:pPr>
            <w:r>
              <w:t xml:space="preserve">IT Risk Management</w:t>
            </w:r>
          </w:p>
          <w:p>
            <w:pPr>
              <w:pStyle w:val="BodyText"/>
            </w:pPr>
            <w:r>
              <w:t xml:space="preserve">Cyber Incident &amp; Breach Response</w:t>
            </w:r>
          </w:p>
        </w:tc>
        <w:tc>
          <w:tcPr/>
          <w:p>
            <w:pPr>
              <w:pStyle w:val="BodyText"/>
            </w:pPr>
            <w:r>
              <w:t xml:space="preserve">When you scope by Facilities as an audit entity, this allows the Data Feed Manager to populate the related risks and controls associated with the Facilities record.</w:t>
            </w:r>
          </w:p>
        </w:tc>
      </w:tr>
      <w:tr>
        <w:tc>
          <w:tcPr/>
          <w:p>
            <w:pPr>
              <w:pStyle w:val="BodyText"/>
            </w:pPr>
            <w:r>
              <w:t xml:space="preserve">Business Processes</w:t>
            </w:r>
          </w:p>
        </w:tc>
        <w:tc>
          <w:tcPr/>
          <w:p>
            <w:pPr>
              <w:pStyle w:val="BodyText"/>
            </w:pPr>
            <w:r>
              <w:t xml:space="preserve">Audit Engagements &amp; Workpapers</w:t>
            </w:r>
          </w:p>
          <w:p>
            <w:pPr>
              <w:pStyle w:val="BodyText"/>
            </w:pPr>
            <w:r>
              <w:t xml:space="preserve">IT Controls Assurance</w:t>
            </w:r>
          </w:p>
          <w:p>
            <w:pPr>
              <w:pStyle w:val="BodyText"/>
            </w:pPr>
            <w:r>
              <w:t xml:space="preserve">IT Risk Management</w:t>
            </w:r>
          </w:p>
          <w:p>
            <w:pPr>
              <w:pStyle w:val="BodyText"/>
            </w:pPr>
            <w:r>
              <w:t xml:space="preserve">Data Governance</w:t>
            </w:r>
          </w:p>
        </w:tc>
        <w:tc>
          <w:tcPr/>
          <w:p>
            <w:pPr>
              <w:pStyle w:val="BodyText"/>
            </w:pPr>
            <w:r>
              <w:t xml:space="preserve">When you scope by Business Processes as an audit entity, this allows the Data Feed Manager to populate the related risks and controls associated with the Business Process record.</w:t>
            </w:r>
          </w:p>
        </w:tc>
      </w:tr>
      <w:tr>
        <w:tc>
          <w:tcPr/>
          <w:p>
            <w:pPr>
              <w:pStyle w:val="BodyText"/>
            </w:pPr>
            <w:r>
              <w:t xml:space="preserve">Compliance Scope</w:t>
            </w:r>
          </w:p>
        </w:tc>
        <w:tc>
          <w:tcPr/>
          <w:p>
            <w:pPr>
              <w:pStyle w:val="BodyText"/>
            </w:pPr>
            <w:r>
              <w:t xml:space="preserve">Control Assurance Program Management</w:t>
            </w:r>
          </w:p>
        </w:tc>
        <w:tc>
          <w:tcPr/>
          <w:p>
            <w:pPr>
              <w:pStyle w:val="BodyText"/>
            </w:pPr>
            <w:r>
              <w:t xml:space="preserve">When you scope by Compliance Scope as an audit entity, this Allows the Data Feed Manager to populate the related risks and controls associated with the Compliance Scope record.</w:t>
            </w:r>
          </w:p>
        </w:tc>
      </w:tr>
    </w:tbl>
    <w:p>
      <w:pPr>
        <w:pStyle w:val="BodyText"/>
      </w:pPr>
      <w:r>
        <w:rPr>
          <w:b/>
          <w:bCs/>
        </w:rPr>
        <w:t xml:space="preserve">Note:</w:t>
      </w:r>
      <w:r>
        <w:t xml:space="preserve"> </w:t>
      </w:r>
      <w:r>
        <w:t xml:space="preserve">The Audit Planning &amp; Quality use case allows you to scope your audit entities by additional relationships: to risks and control procedures; authoritative sources, policies, and corporate objectives; and to information assets, products and services, and third parties. These relationships are only available if you have also licensed use cases that contains these applications.</w:t>
      </w:r>
    </w:p>
    <w:bookmarkEnd w:id="25"/>
    <w:bookmarkEnd w:id="26"/>
    <w:bookmarkStart w:id="30" w:name="GetStarted"/>
    <w:p>
      <w:pPr>
        <w:pStyle w:val="Heading2"/>
      </w:pPr>
      <w:r>
        <w:t xml:space="preserve">Get Started</w:t>
      </w:r>
    </w:p>
    <w:p>
      <w:pPr>
        <w:pStyle w:val="Compact"/>
        <w:numPr>
          <w:ilvl w:val="0"/>
          <w:numId w:val="1006"/>
        </w:numPr>
      </w:pPr>
      <w:hyperlink r:id="rId27">
        <w:r>
          <w:rPr>
            <w:rStyle w:val="Hyperlink"/>
          </w:rPr>
          <w:t xml:space="preserve">Read about the use case architecture</w:t>
        </w:r>
      </w:hyperlink>
    </w:p>
    <w:p>
      <w:pPr>
        <w:pStyle w:val="Compact"/>
        <w:numPr>
          <w:ilvl w:val="0"/>
          <w:numId w:val="1006"/>
        </w:numPr>
      </w:pPr>
      <w:hyperlink r:id="rId28">
        <w:r>
          <w:rPr>
            <w:rStyle w:val="Hyperlink"/>
          </w:rPr>
          <w:t xml:space="preserve">Learn how the use case works</w:t>
        </w:r>
      </w:hyperlink>
    </w:p>
    <w:p>
      <w:pPr>
        <w:pStyle w:val="Compact"/>
        <w:numPr>
          <w:ilvl w:val="0"/>
          <w:numId w:val="1006"/>
        </w:numPr>
      </w:pPr>
      <w:hyperlink r:id="rId29">
        <w:r>
          <w:rPr>
            <w:rStyle w:val="Hyperlink"/>
          </w:rPr>
          <w:t xml:space="preserve">Install and set up the use case</w:t>
        </w:r>
      </w:hyperlink>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am_audeng_design.htm" TargetMode="External" /><Relationship Type="http://schemas.openxmlformats.org/officeDocument/2006/relationships/hyperlink" Id="rId29" Target="am_audeng_install.htm" TargetMode="External" /><Relationship Type="http://schemas.openxmlformats.org/officeDocument/2006/relationships/hyperlink" Id="rId28" Target="am_audeng_using.htm" TargetMode="External" /><Relationship Type="http://schemas.openxmlformats.org/officeDocument/2006/relationships/hyperlink" Id="rId24" Target="https://help.archerirm.cloud/archer_suite_help/en-us/Content/PortalHome/SolutionsHome/sol_home.htm" TargetMode="External" /><Relationship Type="http://schemas.openxmlformats.org/officeDocument/2006/relationships/hyperlink" Id="rId20" Target="https://www.archerirm.community/t5/solution-use-case-overviews/archer-solutions-amp-use-cases/ba-p/572564" TargetMode="External" /></Relationships>
</file>

<file path=word/_rels/footnotes.xml.rels><?xml version="1.0" encoding="UTF-8"?><Relationships xmlns="http://schemas.openxmlformats.org/package/2006/relationships"><Relationship Type="http://schemas.openxmlformats.org/officeDocument/2006/relationships/hyperlink" Id="rId27" Target="am_audeng_design.htm" TargetMode="External" /><Relationship Type="http://schemas.openxmlformats.org/officeDocument/2006/relationships/hyperlink" Id="rId29" Target="am_audeng_install.htm" TargetMode="External" /><Relationship Type="http://schemas.openxmlformats.org/officeDocument/2006/relationships/hyperlink" Id="rId28" Target="am_audeng_using.htm" TargetMode="External" /><Relationship Type="http://schemas.openxmlformats.org/officeDocument/2006/relationships/hyperlink" Id="rId24" Target="https://help.archerirm.cloud/archer_suite_help/en-us/Content/PortalHome/SolutionsHome/sol_home.htm" TargetMode="External" /><Relationship Type="http://schemas.openxmlformats.org/officeDocument/2006/relationships/hyperlink" Id="rId20" Target="https://www.archerirm.community/t5/solution-use-case-overviews/archer-solutions-amp-use-cases/ba-p/572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2025-03-06T14:36:07Z</dcterms:created>
  <dcterms:modified xsi:type="dcterms:W3CDTF">2025-03-06T14:36:07Z</dcterms:modified>
</cp:coreProperties>
</file>

<file path=docProps/custom.xml><?xml version="1.0" encoding="utf-8"?>
<Properties xmlns="http://schemas.openxmlformats.org/officeDocument/2006/custom-properties" xmlns:vt="http://schemas.openxmlformats.org/officeDocument/2006/docPropsVTypes"/>
</file>