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renciando-resultados-de-análises-1"/>
    <w:p>
      <w:pPr>
        <w:pStyle w:val="Heading1"/>
      </w:pPr>
      <w:r>
        <w:t xml:space="preserve">Gerenciando resultados de análises</w:t>
      </w:r>
    </w:p>
    <w:p>
      <w:pPr>
        <w:pStyle w:val="FirstParagraph"/>
      </w:pPr>
      <w:r>
        <w:t xml:space="preserve">O workflow principal para o caso de uso do Programa vulnerabilidades de segurança de TI coleta dados de análise de dispositivo de várias origens e faz a referência cruzada com esses dados com relação às vulnerabilidades conhecidas. A emissão de tíquetes de vulnerabilidades encontradas nos dados de análise de dispositivo ocorre através de processos automatizados e manuais. Depois que um tíquete de vulnerabilidade é atribuído ao administrador de TI apropriado, o administrador de TI pode resolvê-lo de várias maneiras.</w:t>
      </w:r>
    </w:p>
    <w:p>
      <w:pPr>
        <w:pStyle w:val="BodyText"/>
      </w:pPr>
      <w:r>
        <w:t xml:space="preserve">Aqui estão as tarefas para gerenciar os resultados da verificação:</w:t>
      </w:r>
    </w:p>
    <w:p>
      <w:pPr>
        <w:numPr>
          <w:ilvl w:val="0"/>
          <w:numId w:val="1001"/>
        </w:numPr>
      </w:pPr>
      <w:r>
        <w:t xml:space="preserve">Iniciar verificações.</w:t>
      </w:r>
    </w:p>
    <w:p>
      <w:pPr>
        <w:numPr>
          <w:ilvl w:val="0"/>
          <w:numId w:val="1001"/>
        </w:numPr>
      </w:pPr>
      <w:r>
        <w:t xml:space="preserve">Criar e atribuir um tíquete manualmente.</w:t>
      </w:r>
    </w:p>
    <w:p>
      <w:pPr>
        <w:numPr>
          <w:ilvl w:val="0"/>
          <w:numId w:val="1001"/>
        </w:numPr>
      </w:pPr>
      <w:r>
        <w:t xml:space="preserve">Aceitar, recusar ou reatribuir um tíquete.</w:t>
      </w:r>
    </w:p>
    <w:p>
      <w:pPr>
        <w:numPr>
          <w:ilvl w:val="0"/>
          <w:numId w:val="1001"/>
        </w:numPr>
      </w:pPr>
      <w:r>
        <w:t xml:space="preserve">Resolver um tíquete.</w:t>
      </w:r>
    </w:p>
    <w:p>
      <w:pPr>
        <w:numPr>
          <w:ilvl w:val="0"/>
          <w:numId w:val="1001"/>
        </w:numPr>
      </w:pPr>
      <w:r>
        <w:t xml:space="preserve">Analisar uma remediação simples.</w:t>
      </w:r>
    </w:p>
    <w:p>
      <w:pPr>
        <w:pStyle w:val="FirstParagraph"/>
      </w:pPr>
      <w:r>
        <w:t xml:space="preserve">O diagrama a seguir mostra as principais fases, as tarefas importantes e os usuários responsáveis pelas tarefas.</w:t>
      </w:r>
    </w:p>
    <w:p>
      <w:pPr>
        <w:pStyle w:val="BodyText"/>
      </w:pPr>
      <w:r>
        <w:drawing>
          <wp:inline>
            <wp:extent cx="5334000" cy="3511147"/>
            <wp:effectExtent b="0" l="0" r="0" t="0"/>
            <wp:docPr descr="Diagrama de swimlane ITSVP" title="Diagrama de swimlane ITSVP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39c4cde0ea44eefb20de4fe36f5d0b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mais detalhes sobre o status do registro de Resultados da análise de vulnerabilidades, consulte</w:t>
      </w:r>
      <w:r>
        <w:t xml:space="preserve"> </w:t>
      </w:r>
      <w:hyperlink r:id="rId23">
        <w:r>
          <w:rPr>
            <w:rStyle w:val="Hyperlink"/>
          </w:rPr>
          <w:t xml:space="preserve">Status do registro de Resultados da análise de vulnerabilidades</w:t>
        </w:r>
      </w:hyperlink>
      <w:r>
        <w:t xml:space="preserve">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itsrm_vulnmgt_vsr_record_statu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itsrm_vulnmgt_vsr_record_statu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2025-03-06T14:48:07Z</dcterms:created>
  <dcterms:modified xsi:type="dcterms:W3CDTF">2025-03-06T14:48:07Z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