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renciando-a-detecção-de-ativos-1"/>
    <w:p>
      <w:pPr>
        <w:pStyle w:val="Heading1"/>
      </w:pPr>
      <w:r>
        <w:t xml:space="preserve">Gerenciando a detecção de ativos</w:t>
      </w:r>
    </w:p>
    <w:p>
      <w:pPr>
        <w:pStyle w:val="FirstParagraph"/>
      </w:pPr>
      <w:r>
        <w:t xml:space="preserve">Se você tiver o caso de uso de Gerenciamento de riscos à TI licenciado, poderá usar os seguintes workflows para gerenciar a detecção de ativos.</w:t>
      </w:r>
    </w:p>
    <w:p>
      <w:pPr>
        <w:pStyle w:val="BodyText"/>
      </w:pPr>
      <w:r>
        <w:t xml:space="preserve">Aqui estão as tarefas para gerenciar a descoberta de ativos:</w:t>
      </w:r>
    </w:p>
    <w:p>
      <w:pPr>
        <w:numPr>
          <w:ilvl w:val="0"/>
          <w:numId w:val="1001"/>
        </w:numPr>
      </w:pPr>
      <w:r>
        <w:t xml:space="preserve">Atribuir ativos detectados.</w:t>
      </w:r>
    </w:p>
    <w:p>
      <w:pPr>
        <w:numPr>
          <w:ilvl w:val="0"/>
          <w:numId w:val="1001"/>
        </w:numPr>
      </w:pPr>
      <w:r>
        <w:t xml:space="preserve">Conclusão das avaliações de dispositivos.</w:t>
      </w:r>
    </w:p>
    <w:p>
      <w:pPr>
        <w:numPr>
          <w:ilvl w:val="0"/>
          <w:numId w:val="1001"/>
        </w:numPr>
      </w:pPr>
      <w:r>
        <w:t xml:space="preserve">Conclusão das avaliações de aplicativos.</w:t>
      </w:r>
    </w:p>
    <w:p>
      <w:pPr>
        <w:numPr>
          <w:ilvl w:val="0"/>
          <w:numId w:val="1001"/>
        </w:numPr>
      </w:pPr>
      <w:r>
        <w:t xml:space="preserve">Conclusão das avaliações de impacto nos negócios.</w:t>
      </w:r>
    </w:p>
    <w:p>
      <w:pPr>
        <w:pStyle w:val="FirstParagraph"/>
      </w:pPr>
      <w:r>
        <w:t xml:space="preserve">O diagrama a seguir mostra as principais fases, as tarefas importantes e os usuários responsáveis pelas tarefas.</w:t>
      </w:r>
    </w:p>
    <w:p>
      <w:pPr>
        <w:pStyle w:val="BodyText"/>
      </w:pPr>
      <w:r>
        <w:drawing>
          <wp:inline>
            <wp:extent cx="5334000" cy="3582939"/>
            <wp:effectExtent b="0" l="0" r="0" t="0"/>
            <wp:docPr descr="Workflow de detecção de ativos do programa de vulnerabilidades de segurança de TI" title="Workflow de detecção de ativos do programa de vulnerabilidades de segurança de TI" id="2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995489580d6820c97bef618a5f54e5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base-de-conhecimento-itsvp"/>
    <w:p>
      <w:pPr>
        <w:pStyle w:val="Heading2"/>
      </w:pPr>
      <w:r>
        <w:t xml:space="preserve">Base de conhecimento ITSVP</w:t>
      </w:r>
    </w:p>
    <w:p>
      <w:pPr>
        <w:pStyle w:val="FirstParagraph"/>
      </w:pPr>
      <w:r>
        <w:t xml:space="preserve">Usuários: administrador do Archer</w:t>
      </w:r>
    </w:p>
    <w:p>
      <w:pPr>
        <w:pStyle w:val="BodyText"/>
      </w:pPr>
      <w:r>
        <w:t xml:space="preserve">Como parte das atividades em andamento, os feeds de dados de ITSVP são agendados para execução semanal ou diária por padrão. Esses feeds de dados atualizam e adicionam novas vulnerabilidades ao aplicativo Biblioteca de vulnerabilidades. Esses dados de vulnerabilidade podem ser usados em todo o resto do caso de uso ITSVP para corrigir vulnerabilidades conhecidas em dispositivos analisados.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2025-03-06T14:48:11Z</dcterms:created>
  <dcterms:modified xsi:type="dcterms:W3CDTF">2025-03-06T14:48:11Z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