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c-main-content"/>
    <w:bookmarkStart w:id="21" w:name="X6fb5cf8ddbae57ff88e029594ba12985cc685fd"/>
    <w:p>
      <w:pPr>
        <w:pStyle w:val="Heading1"/>
      </w:pPr>
      <w:r>
        <w:t xml:space="preserve">Status do registro de resultados da análise de vulnerabilidade</w:t>
      </w:r>
    </w:p>
    <w:p>
      <w:pPr>
        <w:pStyle w:val="FirstParagraph"/>
      </w:pPr>
      <w:r>
        <w:t xml:space="preserve">Cada registro de Resultados da análise de vulnerabilidade tem um valor de status geral que descreve onde cada registro está atualmente no workflow avançado de Tíquetes de vulnerabilidades. Os registros de Resultados da análise de vulnerabilidade são:</w:t>
      </w:r>
    </w:p>
    <w:p>
      <w:pPr>
        <w:pStyle w:val="Compact"/>
        <w:numPr>
          <w:ilvl w:val="0"/>
          <w:numId w:val="1001"/>
        </w:numPr>
      </w:pPr>
      <w:r>
        <w:t xml:space="preserve">Ativo</w:t>
      </w:r>
    </w:p>
    <w:p>
      <w:pPr>
        <w:pStyle w:val="Compact"/>
        <w:numPr>
          <w:ilvl w:val="0"/>
          <w:numId w:val="1001"/>
        </w:numPr>
      </w:pPr>
      <w:r>
        <w:t xml:space="preserve">Correção pendente</w:t>
      </w:r>
    </w:p>
    <w:p>
      <w:pPr>
        <w:pStyle w:val="Compact"/>
        <w:numPr>
          <w:ilvl w:val="0"/>
          <w:numId w:val="1001"/>
        </w:numPr>
      </w:pPr>
      <w:r>
        <w:t xml:space="preserve">Risco aceito</w:t>
      </w:r>
    </w:p>
    <w:p>
      <w:pPr>
        <w:pStyle w:val="Compact"/>
        <w:numPr>
          <w:ilvl w:val="1"/>
          <w:numId w:val="1002"/>
        </w:numPr>
      </w:pPr>
      <w:r>
        <w:t xml:space="preserve">Fechado</w:t>
      </w:r>
    </w:p>
    <w:p>
      <w:pPr>
        <w:pStyle w:val="Compact"/>
        <w:numPr>
          <w:ilvl w:val="0"/>
          <w:numId w:val="1001"/>
        </w:numPr>
      </w:pPr>
      <w:r>
        <w:t xml:space="preserve">Risco adiado</w:t>
      </w:r>
    </w:p>
    <w:p>
      <w:pPr>
        <w:pStyle w:val="Compact"/>
        <w:numPr>
          <w:ilvl w:val="0"/>
          <w:numId w:val="1001"/>
        </w:numPr>
      </w:pPr>
      <w:r>
        <w:t xml:space="preserve">Verificação pendente</w:t>
      </w:r>
    </w:p>
    <w:p>
      <w:pPr>
        <w:pStyle w:val="Compact"/>
        <w:numPr>
          <w:ilvl w:val="0"/>
          <w:numId w:val="1001"/>
        </w:numPr>
      </w:pPr>
      <w:r>
        <w:t xml:space="preserve">Verificado</w:t>
      </w:r>
    </w:p>
    <w:p>
      <w:pPr>
        <w:pStyle w:val="Compact"/>
        <w:numPr>
          <w:ilvl w:val="0"/>
          <w:numId w:val="1001"/>
        </w:numPr>
      </w:pPr>
      <w:r>
        <w:t xml:space="preserve">Fechado</w:t>
      </w:r>
    </w:p>
    <w:p>
      <w:pPr>
        <w:pStyle w:val="FirstParagraph"/>
      </w:pPr>
      <w:r>
        <w:t xml:space="preserve">À medida que cada registro de resultados da análise de vulnerabilidades for realizado por meio do workflow avançado de tíquetes de vulnerabilidades, o valor de Status geral será alterado com base nos seguintes fatores (e de onde eles são originários):</w:t>
      </w:r>
    </w:p>
    <w:p>
      <w:pPr>
        <w:pStyle w:val="Compact"/>
        <w:numPr>
          <w:ilvl w:val="0"/>
          <w:numId w:val="1003"/>
        </w:numPr>
      </w:pPr>
      <w:r>
        <w:t xml:space="preserve">Status do tíquete (tíquetes de vulnerabilidades)</w:t>
      </w:r>
    </w:p>
    <w:p>
      <w:pPr>
        <w:pStyle w:val="Compact"/>
        <w:numPr>
          <w:ilvl w:val="0"/>
          <w:numId w:val="1003"/>
        </w:numPr>
      </w:pPr>
      <w:r>
        <w:t xml:space="preserve">Pode ser verificado pelo scanner (planos de remediação)</w:t>
      </w:r>
    </w:p>
    <w:p>
      <w:pPr>
        <w:pStyle w:val="Compact"/>
        <w:numPr>
          <w:ilvl w:val="0"/>
          <w:numId w:val="1003"/>
        </w:numPr>
      </w:pPr>
      <w:r>
        <w:t xml:space="preserve">Exceção permanente (solicitações de exceção)</w:t>
      </w:r>
    </w:p>
    <w:p>
      <w:pPr>
        <w:pStyle w:val="Compact"/>
        <w:numPr>
          <w:ilvl w:val="0"/>
          <w:numId w:val="1003"/>
        </w:numPr>
      </w:pPr>
      <w:r>
        <w:t xml:space="preserve">Estado da análise de VSR (resultados da análise da vulnerabilidade)</w:t>
      </w:r>
    </w:p>
    <w:p>
      <w:pPr>
        <w:pStyle w:val="FirstParagraph"/>
      </w:pPr>
      <w:r>
        <w:t xml:space="preserve">Para obter detalhes exatos, analise o workflow avançado do aplicativo Tíquetes de vulnerabilidades no</w:t>
      </w:r>
      <w:r>
        <w:t xml:space="preserve"> </w:t>
      </w:r>
      <w:r>
        <w:t xml:space="preserve">Archer</w:t>
      </w:r>
      <w:r>
        <w:t xml:space="preserve">.</w:t>
      </w:r>
    </w:p>
    <w:bookmarkStart w:id="20" w:name="informações-importantes-a-considerar"/>
    <w:p>
      <w:pPr>
        <w:pStyle w:val="Heading2"/>
      </w:pPr>
      <w:r>
        <w:t xml:space="preserve">Informações importantes a considerar</w:t>
      </w:r>
    </w:p>
    <w:p>
      <w:pPr>
        <w:pStyle w:val="Compact"/>
        <w:numPr>
          <w:ilvl w:val="0"/>
          <w:numId w:val="1004"/>
        </w:numPr>
      </w:pPr>
      <w:r>
        <w:t xml:space="preserve">Os tíquetes de vulnerabilidades que têm exceções permanentes não podem ser reabertos. No caso em que uma exceção permanente foi registrada no primeiro tíquete, o tíquete não aceitará mais alterações. Um novo tíquete teria de ser aberto e trabalhado no mesmo registro de Resultados da análise de vulnerabilidade se fossem necessárias alterações. Os registros de Resultados da análise de vulnerabilidade ainda poderão ser reabertos de um estado de risco aceito assim que houver mais de 1 tíquete ou plano de remediação associado em um estado ativo.</w:t>
      </w:r>
    </w:p>
    <w:p>
      <w:pPr>
        <w:pStyle w:val="Compact"/>
        <w:numPr>
          <w:ilvl w:val="0"/>
          <w:numId w:val="1004"/>
        </w:numPr>
      </w:pPr>
      <w:r>
        <w:t xml:space="preserve">Risco aceito é semelhante a Encerrado, exceto que Risco aceito pode alterar o status devido a cenários conflitantes.</w:t>
      </w:r>
    </w:p>
    <w:p>
      <w:pPr>
        <w:pStyle w:val="Compact"/>
        <w:numPr>
          <w:ilvl w:val="0"/>
          <w:numId w:val="1004"/>
        </w:numPr>
      </w:pPr>
      <w:r>
        <w:t xml:space="preserve">Se houver algum plano de remediação aprovado associado ao registro de Resultado da análise de vulnerabilidade, o registro vai ignorar as solicitações de exceção.</w:t>
      </w:r>
    </w:p>
    <w:p>
      <w:pPr>
        <w:pStyle w:val="Compact"/>
        <w:numPr>
          <w:ilvl w:val="0"/>
          <w:numId w:val="1004"/>
        </w:numPr>
      </w:pPr>
      <w:r>
        <w:t xml:space="preserve">Certifique-se de que não há dados nem status conflitantes nos registros de Resultados da análise de vulnerabilidade. Se houver dados ou status conflitantes, as seguintes regras serão aplicadas:</w:t>
      </w:r>
    </w:p>
    <w:p>
      <w:pPr>
        <w:pStyle w:val="Compact"/>
        <w:numPr>
          <w:ilvl w:val="1"/>
          <w:numId w:val="1005"/>
        </w:numPr>
      </w:pPr>
      <w:r>
        <w:t xml:space="preserve">Se 2 tíquetes associados forem verificados e encerrados, o registro de Resultados da análise de vulnerabilidade será definido como Verificado.</w:t>
      </w:r>
    </w:p>
    <w:p>
      <w:pPr>
        <w:pStyle w:val="Compact"/>
        <w:numPr>
          <w:ilvl w:val="1"/>
          <w:numId w:val="1005"/>
        </w:numPr>
      </w:pPr>
      <w:r>
        <w:t xml:space="preserve">Se houver algum tíquete associado Em aberto ou Em andamento, os registros de Resultados da análise de vulnerabilidade não poderão ser definidos como Verificados ou Encerrados.</w:t>
      </w:r>
    </w:p>
    <w:p>
      <w:pPr>
        <w:pStyle w:val="Compact"/>
        <w:numPr>
          <w:ilvl w:val="1"/>
          <w:numId w:val="1005"/>
        </w:numPr>
      </w:pPr>
      <w:r>
        <w:t xml:space="preserve">Planos de remediação têm prioridade sobre Solicitações de exceção.</w:t>
      </w:r>
    </w:p>
    <w:bookmarkEnd w:id="20"/>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2025-03-06T14:48:16Z</dcterms:created>
  <dcterms:modified xsi:type="dcterms:W3CDTF">2025-03-06T14:48:16Z</dcterms:modified>
</cp:coreProperties>
</file>

<file path=docProps/custom.xml><?xml version="1.0" encoding="utf-8"?>
<Properties xmlns="http://schemas.openxmlformats.org/officeDocument/2006/custom-properties" xmlns:vt="http://schemas.openxmlformats.org/officeDocument/2006/docPropsVTypes"/>
</file>