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4.jpg" ContentType="image/jpeg"/>
  <Override PartName="/word/media/rId33.png" ContentType="image/png"/>
  <Override PartName="/word/media/rId30.png" ContentType="image/png"/>
  <Override PartName="/word/media/rId24.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9" w:name="mc-main-content"/>
    <w:bookmarkStart w:id="58" w:name="Xaec2e5330db40d6535f1b20da3b07e918b5fa52"/>
    <w:p>
      <w:pPr>
        <w:pStyle w:val="Heading1"/>
      </w:pPr>
      <w:bookmarkStart w:id="20" w:name="aanchor2"/>
      <w:bookmarkEnd w:id="20"/>
      <w:r>
        <w:t xml:space="preserve"> </w:t>
      </w:r>
      <w:r>
        <w:t xml:space="preserve">Instalando os pacotes do Programa de vulnerabilidades de segurança de TI</w:t>
      </w:r>
    </w:p>
    <w:p>
      <w:pPr>
        <w:pStyle w:val="FirstParagraph"/>
      </w:pPr>
      <w:r>
        <w:t xml:space="preserve">Conclua as tarefas para instalar os pacotes.</w:t>
      </w:r>
    </w:p>
    <w:p>
      <w:pPr>
        <w:pStyle w:val="BodyText"/>
      </w:pPr>
      <w:r>
        <w:t xml:space="preserve">Nesta página</w:t>
      </w:r>
    </w:p>
    <w:p>
      <w:pPr>
        <w:pStyle w:val="Compact"/>
        <w:numPr>
          <w:ilvl w:val="0"/>
          <w:numId w:val="1001"/>
        </w:numPr>
      </w:pPr>
      <w:hyperlink w:anchor="Ordemdeinstala%C3%A7%C3%A3odopacote">
        <w:r>
          <w:rPr>
            <w:rStyle w:val="Hyperlink"/>
          </w:rPr>
          <w:t xml:space="preserve">Ordem de instalação do pacote</w:t>
        </w:r>
      </w:hyperlink>
    </w:p>
    <w:p>
      <w:pPr>
        <w:pStyle w:val="Compact"/>
        <w:numPr>
          <w:ilvl w:val="0"/>
          <w:numId w:val="1001"/>
        </w:numPr>
      </w:pPr>
      <w:hyperlink w:anchor="Tarefa1Fazerbackupdeseubancodedados">
        <w:r>
          <w:rPr>
            <w:rStyle w:val="Hyperlink"/>
          </w:rPr>
          <w:t xml:space="preserve">Tarefa 1: Fazer backup de seu banco de dados</w:t>
        </w:r>
      </w:hyperlink>
    </w:p>
    <w:p>
      <w:pPr>
        <w:pStyle w:val="Compact"/>
        <w:numPr>
          <w:ilvl w:val="0"/>
          <w:numId w:val="1001"/>
        </w:numPr>
      </w:pPr>
      <w:hyperlink w:anchor="Tarefa2Importaropacote">
        <w:r>
          <w:rPr>
            <w:rStyle w:val="Hyperlink"/>
          </w:rPr>
          <w:t xml:space="preserve">Tarefa 2: Importar o pacote</w:t>
        </w:r>
      </w:hyperlink>
    </w:p>
    <w:p>
      <w:pPr>
        <w:pStyle w:val="Compact"/>
        <w:numPr>
          <w:ilvl w:val="0"/>
          <w:numId w:val="1001"/>
        </w:numPr>
      </w:pPr>
      <w:hyperlink w:anchor="Tarefa3Mapearobjetosnopacote">
        <w:r>
          <w:rPr>
            <w:rStyle w:val="Hyperlink"/>
          </w:rPr>
          <w:t xml:space="preserve">Tarefa 3: Mapear objetos no pacote</w:t>
        </w:r>
      </w:hyperlink>
    </w:p>
    <w:p>
      <w:pPr>
        <w:pStyle w:val="Compact"/>
        <w:numPr>
          <w:ilvl w:val="0"/>
          <w:numId w:val="1001"/>
        </w:numPr>
      </w:pPr>
      <w:hyperlink w:anchor="Tarefa4Instalaropacote">
        <w:r>
          <w:rPr>
            <w:rStyle w:val="Hyperlink"/>
          </w:rPr>
          <w:t xml:space="preserve">Tarefa 4: Instalar o pacote</w:t>
        </w:r>
      </w:hyperlink>
    </w:p>
    <w:p>
      <w:pPr>
        <w:pStyle w:val="Compact"/>
        <w:numPr>
          <w:ilvl w:val="0"/>
          <w:numId w:val="1001"/>
        </w:numPr>
      </w:pPr>
      <w:hyperlink w:anchor="X6a1386b41dcdfa5d2265b2fa7236480aac97abc">
        <w:r>
          <w:rPr>
            <w:rStyle w:val="Hyperlink"/>
          </w:rPr>
          <w:t xml:space="preserve">Tarefa 5: Analisar o registro de instalação do pacote</w:t>
        </w:r>
      </w:hyperlink>
    </w:p>
    <w:p>
      <w:pPr>
        <w:pStyle w:val="Compact"/>
        <w:numPr>
          <w:ilvl w:val="0"/>
          <w:numId w:val="1001"/>
        </w:numPr>
      </w:pPr>
      <w:hyperlink w:anchor="X0b0d79115508c4568e728a966c04b0414e67a46">
        <w:r>
          <w:rPr>
            <w:rStyle w:val="Hyperlink"/>
          </w:rPr>
          <w:t xml:space="preserve">Lista de verificação de pós-instalação</w:t>
        </w:r>
      </w:hyperlink>
    </w:p>
    <w:p>
      <w:pPr>
        <w:pStyle w:val="Compact"/>
        <w:numPr>
          <w:ilvl w:val="0"/>
          <w:numId w:val="1001"/>
        </w:numPr>
      </w:pPr>
      <w:hyperlink w:anchor="Pr%C3%B3ximospassos">
        <w:r>
          <w:rPr>
            <w:rStyle w:val="Hyperlink"/>
          </w:rPr>
          <w:t xml:space="preserve">Próximos passos</w:t>
        </w:r>
      </w:hyperlink>
    </w:p>
    <w:bookmarkStart w:id="22" w:name="Ordemdeinstalaçãodopacote"/>
    <w:p>
      <w:pPr>
        <w:pStyle w:val="Heading2"/>
      </w:pPr>
      <w:r>
        <w:t xml:space="preserve">Ordem de instalação do pacote</w:t>
      </w:r>
    </w:p>
    <w:p>
      <w:pPr>
        <w:pStyle w:val="FirstParagraph"/>
      </w:pPr>
      <w:r>
        <w:t xml:space="preserve">Você deve concluir as tarefas de cada pacote na seguinte ordem:</w:t>
      </w:r>
    </w:p>
    <w:p>
      <w:pPr>
        <w:pStyle w:val="Compact"/>
        <w:numPr>
          <w:ilvl w:val="0"/>
          <w:numId w:val="1002"/>
        </w:numPr>
      </w:pPr>
      <w:r>
        <w:t xml:space="preserve">Instale o pacote do Catálogo corporativo.</w:t>
      </w:r>
    </w:p>
    <w:p>
      <w:pPr>
        <w:pStyle w:val="Compact"/>
        <w:numPr>
          <w:ilvl w:val="0"/>
          <w:numId w:val="1002"/>
        </w:numPr>
      </w:pPr>
      <w:r>
        <w:t xml:space="preserve">Instale o pacote de caso de uso do Programa de vulnerabilidades de segurança de TI.</w:t>
      </w:r>
    </w:p>
    <w:p>
      <w:pPr>
        <w:pStyle w:val="Compact"/>
        <w:numPr>
          <w:ilvl w:val="0"/>
          <w:numId w:val="1002"/>
        </w:numPr>
      </w:pPr>
      <w:r>
        <w:t xml:space="preserve">Reinstale o pacote do Catálogo corporativo para resolver dependências.</w:t>
      </w:r>
    </w:p>
    <w:p>
      <w:pPr>
        <w:numPr>
          <w:ilvl w:val="0"/>
          <w:numId w:val="1002"/>
        </w:numPr>
      </w:pPr>
      <w:r>
        <w:t xml:space="preserve">Reinstale o seguinte caso de uso de pré-requisito para resolver dependências: Gerenciamento de problemas.</w:t>
      </w:r>
    </w:p>
    <w:p>
      <w:pPr>
        <w:numPr>
          <w:ilvl w:val="0"/>
          <w:numId w:val="1000"/>
        </w:numPr>
      </w:pPr>
      <w:r>
        <w:t xml:space="preserve">Para obter mais informações sobre como instalar o caso de uso de pré-requisito, consulte "Instalando os pacotes" de Gerenciamento de problemas.</w:t>
      </w:r>
    </w:p>
    <w:p>
      <w:pPr>
        <w:pStyle w:val="FirstParagraph"/>
      </w:pPr>
      <w:r>
        <w:rPr>
          <w:b/>
          <w:bCs/>
        </w:rPr>
        <w:t xml:space="preserve">Importante:</w:t>
      </w:r>
      <w:r>
        <w:t xml:space="preserve"> </w:t>
      </w:r>
      <w:r>
        <w:t xml:space="preserve">Se você estiver atualizando do programa de vulnerabilidades de segurança de TI 6.4 ou anterior, exclua ou renomeie seu aplicativo com tecnologia antiga antes de iniciar o processo de instalação. A tentativa de associar o novo aplicativo Tecnologias ao aplicativo Tecnologias preterido pode gerar erros. Para obter mais informações sobre atualização, consulte</w:t>
      </w:r>
      <w:r>
        <w:t xml:space="preserve"> </w:t>
      </w:r>
      <w:hyperlink r:id="rId21">
        <w:r>
          <w:rPr>
            <w:rStyle w:val="Hyperlink"/>
          </w:rPr>
          <w:t xml:space="preserve">Atualizando o Programa de vulnerabilidades de segurança de TI</w:t>
        </w:r>
      </w:hyperlink>
      <w:r>
        <w:t xml:space="preserve">.</w:t>
      </w:r>
    </w:p>
    <w:bookmarkEnd w:id="22"/>
    <w:bookmarkStart w:id="23" w:name="Tarefa1Fazerbackupdeseubancodedados"/>
    <w:p>
      <w:pPr>
        <w:pStyle w:val="Heading2"/>
      </w:pPr>
      <w:r>
        <w:t xml:space="preserve">Tarefa 1: Fazer backup de seu banco de dados</w:t>
      </w:r>
    </w:p>
    <w:p>
      <w:pPr>
        <w:pStyle w:val="FirstParagraph"/>
      </w:pPr>
      <w:r>
        <w:t xml:space="preserve">Não existe a função Desfazer em uma instalação de pacote. O empacotamento é um recurso avançado que pode fazer mudanças significativas em uma instância. Faça backup do banco de dados da instância antes de instalar um pacote. Esse processo permite a restauração completa, se necessário.</w:t>
      </w:r>
    </w:p>
    <w:p>
      <w:pPr>
        <w:pStyle w:val="BodyText"/>
      </w:pPr>
      <w:r>
        <w:t xml:space="preserve">Um método alternativo para desfazer uma instalação de pacote é criar um pacote dos objetos afetados na instância de destino antes de instalar o novo pacote. Esse pacote fornece um snapshot da instância antes do novo pacote ser instalado, o que pode ser utilizado para ajudar a desfazer as alterações feitas pela instalação do pacote. Novos objetos criados pela instalação do pacote devem ser excluídos manualmente.</w:t>
      </w:r>
    </w:p>
    <w:bookmarkEnd w:id="23"/>
    <w:bookmarkStart w:id="27" w:name="Tarefa2Importaropacote"/>
    <w:p>
      <w:pPr>
        <w:pStyle w:val="Heading2"/>
      </w:pPr>
      <w:r>
        <w:t xml:space="preserve">Tarefa 2: Importar o pacote</w:t>
      </w:r>
    </w:p>
    <w:p>
      <w:pPr>
        <w:numPr>
          <w:ilvl w:val="0"/>
          <w:numId w:val="1003"/>
        </w:numPr>
      </w:pPr>
      <w:r>
        <w:t xml:space="preserve">Na barra de menus, clique em</w:t>
      </w:r>
      <w:r>
        <w:t xml:space="preserve"> </w:t>
      </w:r>
      <w:r>
        <w:drawing>
          <wp:inline>
            <wp:extent cx="269507" cy="250256"/>
            <wp:effectExtent b="0" l="0" r="0" t="0"/>
            <wp:docPr descr="menu Admin" title="menu Admin" id="25" name="Picture"/>
            <a:graphic>
              <a:graphicData uri="http://schemas.openxmlformats.org/drawingml/2006/picture">
                <pic:pic>
                  <pic:nvPicPr>
                    <pic:cNvPr descr="C:/Users/samue/WebScrapper/HelpArcher-to-pdf/images/d9c1566cc1719668e17ee724be0d301d.png" id="26"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3"/>
        </w:numPr>
      </w:pPr>
      <w:r>
        <w:t xml:space="preserve">Na seção Pacotes disponíveis, clique em Importar.</w:t>
      </w:r>
    </w:p>
    <w:p>
      <w:pPr>
        <w:pStyle w:val="Compact"/>
        <w:numPr>
          <w:ilvl w:val="0"/>
          <w:numId w:val="1003"/>
        </w:numPr>
      </w:pPr>
      <w:r>
        <w:t xml:space="preserve">Clique em Adicionar novo, localize e selecione o arquivo de pacote que você deseja importar.</w:t>
      </w:r>
    </w:p>
    <w:p>
      <w:pPr>
        <w:numPr>
          <w:ilvl w:val="0"/>
          <w:numId w:val="1003"/>
        </w:numPr>
      </w:pPr>
      <w:r>
        <w:t xml:space="preserve">Clique em OK.</w:t>
      </w:r>
    </w:p>
    <w:p>
      <w:pPr>
        <w:numPr>
          <w:ilvl w:val="0"/>
          <w:numId w:val="1000"/>
        </w:numPr>
      </w:pPr>
      <w:r>
        <w:t xml:space="preserve">O arquivo de pacote é exibido na seção Pacotes disponíveis e está pronto para instalação.</w:t>
      </w:r>
    </w:p>
    <w:bookmarkEnd w:id="27"/>
    <w:bookmarkStart w:id="47" w:name="Tarefa3Mapearobjetosnopacote"/>
    <w:p>
      <w:pPr>
        <w:pStyle w:val="Heading2"/>
      </w:pPr>
      <w:r>
        <w:t xml:space="preserve">Tarefa 3: Mapear objetos no pacote</w:t>
      </w:r>
    </w:p>
    <w:p>
      <w:pPr>
        <w:pStyle w:val="FirstParagraph"/>
      </w:pPr>
      <w:r>
        <w:rPr>
          <w:b/>
          <w:bCs/>
        </w:rPr>
        <w:t xml:space="preserve">Importante:</w:t>
      </w:r>
      <w:r>
        <w:t xml:space="preserve"> </w:t>
      </w:r>
      <w:r>
        <w:t xml:space="preserve">Se você estiver atualizando do programa de vulnerabilidades de segurança de TI 6.4 ou anterior, exclua ou renomeie seu aplicativo com tecnologia antiga antes de iniciar o processo de instalação.</w:t>
      </w:r>
    </w:p>
    <w:p>
      <w:pPr>
        <w:numPr>
          <w:ilvl w:val="0"/>
          <w:numId w:val="1004"/>
        </w:numPr>
      </w:pPr>
      <w:r>
        <w:t xml:space="preserve">Na barra de menus, clique em</w:t>
      </w:r>
      <w:r>
        <w:t xml:space="preserve"> </w:t>
      </w:r>
      <w:r>
        <w:drawing>
          <wp:inline>
            <wp:extent cx="269507" cy="250256"/>
            <wp:effectExtent b="0" l="0" r="0" t="0"/>
            <wp:docPr descr="menu Admin" title="menu Admin" id="28" name="Picture"/>
            <a:graphic>
              <a:graphicData uri="http://schemas.openxmlformats.org/drawingml/2006/picture">
                <pic:pic>
                  <pic:nvPicPr>
                    <pic:cNvPr descr="C:/Users/samue/WebScrapper/HelpArcher-to-pdf/images/d9c1566cc1719668e17ee724be0d301d.png" id="29"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4"/>
        </w:numPr>
      </w:pPr>
      <w:r>
        <w:t xml:space="preserve">Na seção Pacotes disponíveis, localize o pacote que você deseja mapear.</w:t>
      </w:r>
    </w:p>
    <w:p>
      <w:pPr>
        <w:numPr>
          <w:ilvl w:val="0"/>
          <w:numId w:val="1004"/>
        </w:numPr>
      </w:pPr>
      <w:r>
        <w:t xml:space="preserve">Na coluna Ações, clique em</w:t>
      </w:r>
      <w:r>
        <w:t xml:space="preserve"> </w:t>
      </w:r>
      <w:r>
        <w:drawing>
          <wp:inline>
            <wp:extent cx="192505" cy="192505"/>
            <wp:effectExtent b="0" l="0" r="0" t="0"/>
            <wp:docPr descr="Mapear pacote" title="" id="31" name="Picture"/>
            <a:graphic>
              <a:graphicData uri="http://schemas.openxmlformats.org/drawingml/2006/picture">
                <pic:pic>
                  <pic:nvPicPr>
                    <pic:cNvPr descr="C:/Users/samue/WebScrapper/HelpArcher-to-pdf/images/b5fbe3a9c1094b6970ec6a525ef9cc77.png" id="32" name="Picture"/>
                    <pic:cNvPicPr>
                      <a:picLocks noChangeArrowheads="1" noChangeAspect="1"/>
                    </pic:cNvPicPr>
                  </pic:nvPicPr>
                  <pic:blipFill>
                    <a:blip r:embed="rId30"/>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para esse pacote.</w:t>
      </w:r>
    </w:p>
    <w:p>
      <w:pPr>
        <w:numPr>
          <w:ilvl w:val="0"/>
          <w:numId w:val="1000"/>
        </w:numPr>
      </w:pPr>
      <w:r>
        <w:t xml:space="preserve">O analisador examina as informações no pacote. Automaticamente, o analisador faz a correspondência entre os IDs de sistema dos objetos no pacote e os objetos na instância de destino e identifica os objetos do pacote que foram associados adequadamente aos objetos na instância de destino, os objetos que são novos ou preexistentes, mas não foram associados, e os objetos que não existem (objetos que estão no destino, mas não na origem).</w:t>
      </w:r>
    </w:p>
    <w:p>
      <w:pPr>
        <w:numPr>
          <w:ilvl w:val="0"/>
          <w:numId w:val="1000"/>
        </w:numPr>
      </w:pPr>
      <w:r>
        <w:rPr>
          <w:b/>
          <w:bCs/>
        </w:rPr>
        <w:t xml:space="preserve">Observação:</w:t>
      </w:r>
      <w:r>
        <w:t xml:space="preserve"> </w:t>
      </w:r>
      <w:r>
        <w:t xml:space="preserve">This process can take several minutes or more, especially if the package is large, and may time out after 60 minutes. This time-out setting temporarily overrides any IIS time-out settings set to less than 60 minutes.</w:t>
      </w:r>
    </w:p>
    <w:p>
      <w:pPr>
        <w:numPr>
          <w:ilvl w:val="0"/>
          <w:numId w:val="1000"/>
        </w:numPr>
      </w:pPr>
      <w:r>
        <w:t xml:space="preserve">Quando esse processo é concluído, a página Mapeamento avançado de pacotes lista os objetos no arquivo de pacotes e os objetos correspondentes na instância de destino.</w:t>
      </w:r>
    </w:p>
    <w:p>
      <w:pPr>
        <w:numPr>
          <w:ilvl w:val="0"/>
          <w:numId w:val="1004"/>
        </w:numPr>
      </w:pPr>
      <w:r>
        <w:t xml:space="preserve">Na página Mapeamento avançado, clique para abrir cada categoria e analise os ícones ao lado de cada objeto para determinar quais objetos você precisa mapear manualmente.</w:t>
      </w:r>
    </w:p>
    <w:p>
      <w:pPr>
        <w:pStyle w:val="Compact"/>
      </w:pPr>
      <w:r>
        <w:t xml:space="preserve">A tabela a seguir descreve os ícones.</w:t>
      </w:r>
    </w:p>
    <w:tbl>
      <w:tblPr>
        <w:tblStyle w:val="Table"/>
        <w:tblW w:type="auto" w:w="0"/>
        <w:jc w:val="left"/>
        <w:tblInd w:w="720" w:type="dxa"/>
        <w:tblLook w:firstRow="1" w:lastRow="0" w:firstColumn="0" w:lastColumn="0" w:noHBand="0" w:noVBand="0" w:val="0020"/>
        <w:tblCaption w:val="A tabela a seguir descreve os ícones."/>
      </w:tblPr>
      <w:tblGrid>
        <w:gridCol w:w="2640"/>
        <w:gridCol w:w="2640"/>
        <w:gridCol w:w="2640"/>
      </w:tblGrid>
      <w:tr>
        <w:trPr>
          <w:tblHeader w:val="on"/>
        </w:trPr>
        <w:tc>
          <w:tcPr/>
          <w:p>
            <w:pPr>
              <w:jc w:val="left"/>
            </w:pPr>
            <w:r>
              <w:t xml:space="preserve">Ícone</w:t>
            </w:r>
          </w:p>
        </w:tc>
        <w:tc>
          <w:tcPr/>
          <w:p>
            <w:pPr>
              <w:pStyle w:val="BodyText"/>
            </w:pPr>
            <w:r>
              <w:t xml:space="preserve">Nome</w:t>
            </w:r>
          </w:p>
        </w:tc>
        <w:tc>
          <w:tcPr/>
          <w:p>
            <w:pPr>
              <w:jc w:val="left"/>
            </w:pPr>
            <w:r>
              <w:t xml:space="preserve">Descrição</w:t>
            </w:r>
          </w:p>
        </w:tc>
      </w:tr>
      <w:tr>
        <w:tc>
          <w:tcPr/>
          <w:p>
            <w:pPr>
              <w:pStyle w:val="BodyText"/>
            </w:pPr>
            <w:r>
              <w:drawing>
                <wp:inline>
                  <wp:extent cx="192505" cy="192505"/>
                  <wp:effectExtent b="0" l="0" r="0" t="0"/>
                  <wp:docPr descr="Aguardando revisão do mapeamento" title="" id="34" name="Picture"/>
                  <a:graphic>
                    <a:graphicData uri="http://schemas.openxmlformats.org/drawingml/2006/picture">
                      <pic:pic>
                        <pic:nvPicPr>
                          <pic:cNvPr descr="C:/Users/samue/WebScrapper/HelpArcher-to-pdf/images/b2d6dd39c5c0b4c1e481bcbc60c2d0ba.png" id="35" name="Picture"/>
                          <pic:cNvPicPr>
                            <a:picLocks noChangeArrowheads="1" noChangeAspect="1"/>
                          </pic:cNvPicPr>
                        </pic:nvPicPr>
                        <pic:blipFill>
                          <a:blip r:embed="rId33"/>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Aguardando revisão do mapeamento</w:t>
            </w:r>
          </w:p>
        </w:tc>
        <w:tc>
          <w:tcPr/>
          <w:p>
            <w:pPr>
              <w:pStyle w:val="BodyText"/>
            </w:pPr>
            <w:r>
              <w:t xml:space="preserve">Indica que o sistema não conseguiu fazer automaticamente a correspondência do objeto ou de um dos filhos do objeto a um objeto correspondente na instância de destino.</w:t>
            </w:r>
          </w:p>
          <w:p>
            <w:pPr>
              <w:pStyle w:val="BodyText"/>
            </w:pPr>
            <w:r>
              <w:t xml:space="preserve">Os objetos marcados com esse ícone devem ser mapeados manualmente.</w:t>
            </w:r>
          </w:p>
          <w:p>
            <w:pPr>
              <w:pStyle w:val="BodyText"/>
            </w:pPr>
            <w:r>
              <w:t xml:space="preserve">Novos objetos não devem ser mapeados. No menu suspenso, selecione Não mapear para limpar esse ícone para um objeto individual ou clique em Não mapear para limpar o ícone de todos os objetos não mapeados.</w:t>
            </w:r>
          </w:p>
        </w:tc>
      </w:tr>
      <w:tr>
        <w:tc>
          <w:tcPr/>
          <w:p>
            <w:pPr>
              <w:pStyle w:val="BodyText"/>
            </w:pPr>
            <w:r>
              <w:drawing>
                <wp:inline>
                  <wp:extent cx="192505" cy="192505"/>
                  <wp:effectExtent b="0" l="0" r="0" t="0"/>
                  <wp:docPr descr="Mapeamento concluído" title="" id="37" name="Picture"/>
                  <a:graphic>
                    <a:graphicData uri="http://schemas.openxmlformats.org/drawingml/2006/picture">
                      <pic:pic>
                        <pic:nvPicPr>
                          <pic:cNvPr descr="C:/Users/samue/WebScrapper/HelpArcher-to-pdf/images/81fa94da5912b30e81c936f4d7df8faa.png" id="38" name="Picture"/>
                          <pic:cNvPicPr>
                            <a:picLocks noChangeArrowheads="1" noChangeAspect="1"/>
                          </pic:cNvPicPr>
                        </pic:nvPicPr>
                        <pic:blipFill>
                          <a:blip r:embed="rId36"/>
                          <a:stretch>
                            <a:fillRect/>
                          </a:stretch>
                        </pic:blipFill>
                        <pic:spPr bwMode="auto">
                          <a:xfrm>
                            <a:off x="0" y="0"/>
                            <a:ext cx="192505" cy="192505"/>
                          </a:xfrm>
                          <a:prstGeom prst="rect">
                            <a:avLst/>
                          </a:prstGeom>
                          <a:noFill/>
                          <a:ln w="9525">
                            <a:noFill/>
                            <a:headEnd/>
                            <a:tailEnd/>
                          </a:ln>
                        </pic:spPr>
                      </pic:pic>
                    </a:graphicData>
                  </a:graphic>
                </wp:inline>
              </w:drawing>
            </w:r>
          </w:p>
        </w:tc>
        <w:tc>
          <w:tcPr/>
          <w:p>
            <w:pPr>
              <w:pStyle w:val="BodyText"/>
            </w:pPr>
            <w:r>
              <w:t xml:space="preserve">Mapeamento concluído</w:t>
            </w:r>
          </w:p>
        </w:tc>
        <w:tc>
          <w:tcPr/>
          <w:p>
            <w:pPr>
              <w:pStyle w:val="BodyText"/>
            </w:pPr>
            <w:r>
              <w:t xml:space="preserve">Indica que o objeto e todos os filhos estão associados a objetos na instância de destino ou que eles foram marcados como Não mapear. Nada mais precisa ser feito com esses objetos no Mapeamento avançado de pacotes.</w:t>
            </w:r>
          </w:p>
        </w:tc>
      </w:tr>
    </w:tbl>
    <w:p>
      <w:pPr>
        <w:numPr>
          <w:ilvl w:val="0"/>
          <w:numId w:val="1000"/>
        </w:numPr>
      </w:pPr>
      <w:r>
        <w:rPr>
          <w:b/>
          <w:bCs/>
        </w:rPr>
        <w:t xml:space="preserve">Observação:</w:t>
      </w:r>
      <w:r>
        <w:t xml:space="preserve"> </w:t>
      </w:r>
      <w:r>
        <w:t xml:space="preserve">Você pode executar o processo de mapeamento sem mapear todos os objetos. O ícone</w:t>
      </w:r>
      <w:r>
        <w:t xml:space="preserve"> </w:t>
      </w:r>
      <w:r>
        <w:drawing>
          <wp:inline>
            <wp:extent cx="192505" cy="192505"/>
            <wp:effectExtent b="0" l="0" r="0" t="0"/>
            <wp:docPr descr="ícone Aguardando revisão do mapeamento" title="" id="39" name="Picture"/>
            <a:graphic>
              <a:graphicData uri="http://schemas.openxmlformats.org/drawingml/2006/picture">
                <pic:pic>
                  <pic:nvPicPr>
                    <pic:cNvPr descr="C:/Users/samue/WebScrapper/HelpArcher-to-pdf/images/b2d6dd39c5c0b4c1e481bcbc60c2d0ba.png" id="40" name="Picture"/>
                    <pic:cNvPicPr>
                      <a:picLocks noChangeArrowheads="1" noChangeAspect="1"/>
                    </pic:cNvPicPr>
                  </pic:nvPicPr>
                  <pic:blipFill>
                    <a:blip r:embed="rId33"/>
                    <a:stretch>
                      <a:fillRect/>
                    </a:stretch>
                  </pic:blipFill>
                  <pic:spPr bwMode="auto">
                    <a:xfrm>
                      <a:off x="0" y="0"/>
                      <a:ext cx="192505" cy="192505"/>
                    </a:xfrm>
                    <a:prstGeom prst="rect">
                      <a:avLst/>
                    </a:prstGeom>
                    <a:noFill/>
                    <a:ln w="9525">
                      <a:noFill/>
                      <a:headEnd/>
                      <a:tailEnd/>
                    </a:ln>
                  </pic:spPr>
                </pic:pic>
              </a:graphicData>
            </a:graphic>
          </wp:inline>
        </w:drawing>
      </w:r>
      <w:r>
        <w:t xml:space="preserve"> </w:t>
      </w:r>
      <w:r>
        <w:t xml:space="preserve">serve apenas para fins informativos.</w:t>
      </w:r>
    </w:p>
    <w:p>
      <w:pPr>
        <w:pStyle w:val="Compact"/>
        <w:numPr>
          <w:ilvl w:val="0"/>
          <w:numId w:val="1004"/>
        </w:numPr>
      </w:pPr>
      <w:r>
        <w:t xml:space="preserve">Para objetos que aguardam a análise de mapeamento, execute um dos seguintes procedimentos:</w:t>
      </w:r>
    </w:p>
    <w:p>
      <w:pPr>
        <w:pStyle w:val="Compact"/>
        <w:numPr>
          <w:ilvl w:val="1"/>
          <w:numId w:val="1005"/>
        </w:numPr>
      </w:pPr>
      <w:r>
        <w:t xml:space="preserve">Para mapear cada item individualmente, selecione, na coluna Destino do menu suspenso, o objeto na instância de destino ao qual deseja associar o objeto de origem. Para deixar um objeto não mapeado, selecione Não mapear na coluna Destino.</w:t>
      </w:r>
    </w:p>
    <w:p>
      <w:pPr>
        <w:pStyle w:val="Compact"/>
        <w:numPr>
          <w:ilvl w:val="1"/>
          <w:numId w:val="1005"/>
        </w:numPr>
      </w:pPr>
      <w:r>
        <w:t xml:space="preserve">Para mapear automaticamente todos os objetos em uma categoria que têm IDs de sistema diferentes, mas o mesmo nome de um objeto na instância de destino, clique em Mapeamento automático. Selecione se deseja ignorar maiúsculas e minúsculas ao combinar nomes de objetos. Clique em OK.</w:t>
      </w:r>
    </w:p>
    <w:p>
      <w:pPr>
        <w:pStyle w:val="Compact"/>
        <w:numPr>
          <w:ilvl w:val="1"/>
          <w:numId w:val="1005"/>
        </w:numPr>
      </w:pPr>
      <w:r>
        <w:t xml:space="preserve">Para marcar como Não mapear todos os objetos não mapeados, clique em Não mapear.</w:t>
      </w:r>
    </w:p>
    <w:p>
      <w:pPr>
        <w:numPr>
          <w:ilvl w:val="0"/>
          <w:numId w:val="1004"/>
        </w:numPr>
      </w:pPr>
      <w:r>
        <w:t xml:space="preserve">(Opcional) Clique em</w:t>
      </w:r>
      <w:r>
        <w:t xml:space="preserve"> </w:t>
      </w:r>
      <w:r>
        <w:drawing>
          <wp:inline>
            <wp:extent cx="185437" cy="179043"/>
            <wp:effectExtent b="0" l="0" r="0" t="0"/>
            <wp:docPr descr="Filtro" title="Filtro" id="42" name="Picture"/>
            <a:graphic>
              <a:graphicData uri="http://schemas.openxmlformats.org/drawingml/2006/picture">
                <pic:pic>
                  <pic:nvPicPr>
                    <pic:cNvPr descr="C:/Users/samue/WebScrapper/HelpArcher-to-pdf/images/dc1da973491907b6a0b586f55401b3a7.PNG" id="43" name="Picture"/>
                    <pic:cNvPicPr>
                      <a:picLocks noChangeArrowheads="1" noChangeAspect="1"/>
                    </pic:cNvPicPr>
                  </pic:nvPicPr>
                  <pic:blipFill>
                    <a:blip r:embed="rId41"/>
                    <a:stretch>
                      <a:fillRect/>
                    </a:stretch>
                  </pic:blipFill>
                  <pic:spPr bwMode="auto">
                    <a:xfrm>
                      <a:off x="0" y="0"/>
                      <a:ext cx="185437" cy="179043"/>
                    </a:xfrm>
                    <a:prstGeom prst="rect">
                      <a:avLst/>
                    </a:prstGeom>
                    <a:noFill/>
                    <a:ln w="9525">
                      <a:noFill/>
                      <a:headEnd/>
                      <a:tailEnd/>
                    </a:ln>
                  </pic:spPr>
                </pic:pic>
              </a:graphicData>
            </a:graphic>
          </wp:inline>
        </w:drawing>
      </w:r>
      <w:r>
        <w:t xml:space="preserve"> </w:t>
      </w:r>
      <w:r>
        <w:t xml:space="preserve">para habilitar os campos de filtro que você pode usar para localizar objetos específicos em cada categoria de mapeamento. Para desfazer suas seleções de mapeamento, clique em Desfazer e, em seguida, selecione se quer desfazer todos os mapeamentos da categoria ou apenas de uma página específica. Se você optar por desfazer todos os mapeamentos, será direcionado para a lista de categorias.</w:t>
      </w:r>
    </w:p>
    <w:p>
      <w:pPr>
        <w:pStyle w:val="Compact"/>
        <w:numPr>
          <w:ilvl w:val="0"/>
          <w:numId w:val="1004"/>
        </w:numPr>
      </w:pPr>
      <w:r>
        <w:t xml:space="preserve">(Opcional) Para salvar suas seleções de mapeamento e voltar à lista de categorias sem confirmar as alterações na instância de destino, clique em</w:t>
      </w:r>
      <w:r>
        <w:t xml:space="preserve"> </w:t>
      </w:r>
      <w:r>
        <w:drawing>
          <wp:inline>
            <wp:extent cx="238125" cy="190500"/>
            <wp:effectExtent b="0" l="0" r="0" t="0"/>
            <wp:docPr descr="RSA" title="RSA" id="45" name="Picture"/>
            <a:graphic>
              <a:graphicData uri="http://schemas.openxmlformats.org/drawingml/2006/picture">
                <pic:pic>
                  <pic:nvPicPr>
                    <pic:cNvPr descr="C:/Users/samue/WebScrapper/HelpArcher-to-pdf/images/aba1a4b4a8c2226660a9bad0c5f76a28.jpg" id="46" name="Picture"/>
                    <pic:cNvPicPr>
                      <a:picLocks noChangeArrowheads="1" noChangeAspect="1"/>
                    </pic:cNvPicPr>
                  </pic:nvPicPr>
                  <pic:blipFill>
                    <a:blip r:embed="rId44"/>
                    <a:stretch>
                      <a:fillRect/>
                    </a:stretch>
                  </pic:blipFill>
                  <pic:spPr bwMode="auto">
                    <a:xfrm>
                      <a:off x="0" y="0"/>
                      <a:ext cx="238125" cy="190500"/>
                    </a:xfrm>
                    <a:prstGeom prst="rect">
                      <a:avLst/>
                    </a:prstGeom>
                    <a:noFill/>
                    <a:ln w="9525">
                      <a:noFill/>
                      <a:headEnd/>
                      <a:tailEnd/>
                    </a:ln>
                  </pic:spPr>
                </pic:pic>
              </a:graphicData>
            </a:graphic>
          </wp:inline>
        </w:drawing>
      </w:r>
      <w:r>
        <w:t xml:space="preserve">.</w:t>
      </w:r>
    </w:p>
    <w:p>
      <w:pPr>
        <w:pStyle w:val="Compact"/>
        <w:numPr>
          <w:ilvl w:val="0"/>
          <w:numId w:val="1004"/>
        </w:numPr>
      </w:pPr>
      <w:r>
        <w:t xml:space="preserve">Depois de revisar e mapear todos os objetos, clique em Executar.</w:t>
      </w:r>
    </w:p>
    <w:p>
      <w:pPr>
        <w:numPr>
          <w:ilvl w:val="0"/>
          <w:numId w:val="1004"/>
        </w:numPr>
      </w:pPr>
      <w:r>
        <w:t xml:space="preserve">Selecione Estou ciente das implicações decorrentes da execução desta operação. Clique em OK.</w:t>
      </w:r>
    </w:p>
    <w:p>
      <w:pPr>
        <w:numPr>
          <w:ilvl w:val="0"/>
          <w:numId w:val="1000"/>
        </w:numPr>
      </w:pPr>
      <w:r>
        <w:t xml:space="preserve">Quando o mapeamento é concluído, a página Importar e instalar pacotes é exibida.</w:t>
      </w:r>
    </w:p>
    <w:p>
      <w:pPr>
        <w:numPr>
          <w:ilvl w:val="0"/>
          <w:numId w:val="1000"/>
        </w:numPr>
      </w:pPr>
      <w:r>
        <w:rPr>
          <w:b/>
          <w:bCs/>
        </w:rPr>
        <w:t xml:space="preserve">Importante:</w:t>
      </w:r>
      <w:r>
        <w:t xml:space="preserve"> </w:t>
      </w:r>
      <w:r>
        <w:t xml:space="preserve">o Mapeamento avançado de pacotes modifica os IDs do sistema na instância de destino. É necessário atualizar com novos IDs do sistema qualquer feed de dados e API do Web Service que utilize esses objetos.</w:t>
      </w:r>
    </w:p>
    <w:bookmarkEnd w:id="47"/>
    <w:bookmarkStart w:id="50" w:name="Tarefa4Instalaropacote"/>
    <w:p>
      <w:pPr>
        <w:pStyle w:val="Heading2"/>
      </w:pPr>
      <w:r>
        <w:t xml:space="preserve">Tarefa 4: Instalar o pacote</w:t>
      </w:r>
    </w:p>
    <w:p>
      <w:pPr>
        <w:pStyle w:val="FirstParagraph"/>
      </w:pPr>
      <w:r>
        <w:t xml:space="preserve">Todos os objetos da instância de origem são instalados na instância de destino, a não ser que o objeto não seja encontrado ou esteja marcado para não ser instalado na instância de destino. Uma lista de condições que podem fazer com que objetos não sejam instalados é fornecida na seção Mensagens do registro. Uma entrada de registro é exibida na seção Registro de instalação do pacote.</w:t>
      </w:r>
    </w:p>
    <w:p>
      <w:pPr>
        <w:pStyle w:val="BodyText"/>
      </w:pPr>
      <w:r>
        <w:rPr>
          <w:b/>
          <w:bCs/>
        </w:rPr>
        <w:t xml:space="preserve">Observação:</w:t>
      </w:r>
      <w:r>
        <w:t xml:space="preserve"> </w:t>
      </w:r>
      <w:r>
        <w:t xml:space="preserve">importar dados para listas de valores hierárquicos grandes pode causar problemas de desempenho.</w:t>
      </w:r>
    </w:p>
    <w:p>
      <w:pPr>
        <w:numPr>
          <w:ilvl w:val="0"/>
          <w:numId w:val="1006"/>
        </w:numPr>
      </w:pPr>
      <w:r>
        <w:t xml:space="preserve">No menu, clique em</w:t>
      </w:r>
      <w:r>
        <w:t xml:space="preserve"> </w:t>
      </w:r>
      <w:r>
        <w:drawing>
          <wp:inline>
            <wp:extent cx="269507" cy="250256"/>
            <wp:effectExtent b="0" l="0" r="0" t="0"/>
            <wp:docPr descr="menu Admin" title="menu Admin" id="48" name="Picture"/>
            <a:graphic>
              <a:graphicData uri="http://schemas.openxmlformats.org/drawingml/2006/picture">
                <pic:pic>
                  <pic:nvPicPr>
                    <pic:cNvPr descr="C:/Users/samue/WebScrapper/HelpArcher-to-pdf/images/d9c1566cc1719668e17ee724be0d301d.png" id="49"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 </w:t>
      </w:r>
      <w:r>
        <w:t xml:space="preserve">&gt; Application Builder &gt; Instalar pacotes.</w:t>
      </w:r>
    </w:p>
    <w:p>
      <w:pPr>
        <w:pStyle w:val="Compact"/>
        <w:numPr>
          <w:ilvl w:val="0"/>
          <w:numId w:val="1006"/>
        </w:numPr>
      </w:pPr>
      <w:r>
        <w:t xml:space="preserve">Na seção Pacotes disponíveis, localize o arquivo de pacote que você deseja instalar e clique em Instalar.</w:t>
      </w:r>
    </w:p>
    <w:p>
      <w:pPr>
        <w:numPr>
          <w:ilvl w:val="0"/>
          <w:numId w:val="1006"/>
        </w:numPr>
      </w:pPr>
      <w:r>
        <w:t xml:space="preserve">Na seção Configuração, selecione os componentes do pacote que você deseja instalar.</w:t>
      </w:r>
    </w:p>
    <w:p>
      <w:pPr>
        <w:pStyle w:val="Compact"/>
        <w:numPr>
          <w:ilvl w:val="1"/>
          <w:numId w:val="1007"/>
        </w:numPr>
      </w:pPr>
      <w:r>
        <w:t xml:space="preserve">Para selecionar todos os componentes, marque a caixa de seleção superior.</w:t>
      </w:r>
    </w:p>
    <w:p>
      <w:pPr>
        <w:pStyle w:val="Compact"/>
        <w:numPr>
          <w:ilvl w:val="1"/>
          <w:numId w:val="1007"/>
        </w:numPr>
      </w:pPr>
      <w:r>
        <w:t xml:space="preserve">Para instalar apenas relatórios globais específicos em um aplicativo já instalado, marque a caixa de seleção associada a cada relatório que você deseja instalar.</w:t>
      </w:r>
    </w:p>
    <w:p>
      <w:pPr>
        <w:numPr>
          <w:ilvl w:val="0"/>
          <w:numId w:val="1000"/>
        </w:numPr>
      </w:pPr>
      <w:r>
        <w:rPr>
          <w:b/>
          <w:bCs/>
        </w:rPr>
        <w:t xml:space="preserve">Observação:</w:t>
      </w:r>
      <w:r>
        <w:t xml:space="preserve"> </w:t>
      </w:r>
      <w:r>
        <w:t xml:space="preserve">Os itens no pacote que não correspondem a um item existente na instância de destino são selecionados por padrão.</w:t>
      </w:r>
    </w:p>
    <w:p>
      <w:pPr>
        <w:numPr>
          <w:ilvl w:val="0"/>
          <w:numId w:val="1006"/>
        </w:numPr>
      </w:pPr>
      <w:r>
        <w:t xml:space="preserve">Na seção Configuração, em Método de instalação, selecione uma opção para cada componente selecionado. Para utilizar o mesmo método de instalação para todos os componentes selecionados, escolha um método na lista drop-down superior.</w:t>
      </w:r>
    </w:p>
    <w:p>
      <w:pPr>
        <w:numPr>
          <w:ilvl w:val="0"/>
          <w:numId w:val="1000"/>
        </w:numPr>
      </w:pPr>
      <w:r>
        <w:rPr>
          <w:b/>
          <w:bCs/>
        </w:rPr>
        <w:t xml:space="preserve">Observação:</w:t>
      </w:r>
      <w:r>
        <w:t xml:space="preserve"> </w:t>
      </w:r>
      <w:r>
        <w:t xml:space="preserve">Se você tiver quaisquer componentes existentes que você deseja modificar, Somente criar novo. Você pode ter de modificar os componentes após a instalação do pacote para utilizar as alterações feitas pelo pacote.</w:t>
      </w:r>
    </w:p>
    <w:p>
      <w:pPr>
        <w:numPr>
          <w:ilvl w:val="0"/>
          <w:numId w:val="1006"/>
        </w:numPr>
      </w:pPr>
      <w:r>
        <w:t xml:space="preserve">Na seção Configuração, em Opção de instalação, selecione uma opção para cada componente selecionado. Para utilizar a mesma opção de instalação para todos os componentes selecionados, escolha uma opção na lista drop-down superior.</w:t>
      </w:r>
    </w:p>
    <w:p>
      <w:pPr>
        <w:numPr>
          <w:ilvl w:val="0"/>
          <w:numId w:val="1000"/>
        </w:numPr>
      </w:pPr>
      <w:r>
        <w:rPr>
          <w:b/>
          <w:bCs/>
        </w:rPr>
        <w:t xml:space="preserve">Observação:</w:t>
      </w:r>
      <w:r>
        <w:t xml:space="preserve"> </w:t>
      </w:r>
      <w:r>
        <w:t xml:space="preserve">Se você tiver quaisquer campos personalizados ou formatação em um componente que você não deseja perder, selecione Não sobrepor Layout. Você pode ter de modificar o layout após a instalação do pacote para utilizar as alterações feitas pelo pacote.</w:t>
      </w:r>
    </w:p>
    <w:p>
      <w:pPr>
        <w:pStyle w:val="Compact"/>
        <w:numPr>
          <w:ilvl w:val="0"/>
          <w:numId w:val="1006"/>
        </w:numPr>
      </w:pPr>
      <w:r>
        <w:t xml:space="preserve">Para desativar os campos de destino e os eventos orientados por dados que não estão no pacote, na seção Ações pós-instalação, marque a caixa de seleção Desativar campos de destino e eventos orientados por dados que não estão no pacote. Para renomear, com um prefixo definido pelo usuário, os campos de destino e os eventos orientados por dados que foram desativados, marque a caixa de seleção Aplicar um prefixo a todos os objetos desativados e informe um prefixo. Isso pode ajudá-lo a identificar campos ou eventos orientados por dados que você pode querer revisar para realizar uma limpeza pós-instalação.</w:t>
      </w:r>
    </w:p>
    <w:p>
      <w:pPr>
        <w:pStyle w:val="Compact"/>
        <w:numPr>
          <w:ilvl w:val="0"/>
          <w:numId w:val="1006"/>
        </w:numPr>
      </w:pPr>
      <w:r>
        <w:t xml:space="preserve">Clique em Instalar.</w:t>
      </w:r>
    </w:p>
    <w:p>
      <w:pPr>
        <w:pStyle w:val="Compact"/>
        <w:numPr>
          <w:ilvl w:val="0"/>
          <w:numId w:val="1006"/>
        </w:numPr>
      </w:pPr>
      <w:r>
        <w:t xml:space="preserve">Clique em OK.</w:t>
      </w:r>
    </w:p>
    <w:bookmarkEnd w:id="50"/>
    <w:bookmarkStart w:id="54" w:name="X10a162f16e75dcd0f4d3d11ca3c6c449ac42d12"/>
    <w:p>
      <w:pPr>
        <w:pStyle w:val="Heading2"/>
      </w:pPr>
      <w:r>
        <w:t xml:space="preserve">Tarefa 5: Analisar o registro de instalação do pacote</w:t>
      </w:r>
    </w:p>
    <w:p>
      <w:pPr>
        <w:numPr>
          <w:ilvl w:val="0"/>
          <w:numId w:val="1008"/>
        </w:numPr>
      </w:pPr>
      <w:r>
        <w:t xml:space="preserve">Na barra de menus, clique em</w:t>
      </w:r>
      <w:r>
        <w:t xml:space="preserve"> </w:t>
      </w:r>
      <w:r>
        <w:drawing>
          <wp:inline>
            <wp:extent cx="269507" cy="250256"/>
            <wp:effectExtent b="0" l="0" r="0" t="0"/>
            <wp:docPr descr="menu Admin" title="menu Admin" id="51" name="Picture"/>
            <a:graphic>
              <a:graphicData uri="http://schemas.openxmlformats.org/drawingml/2006/picture">
                <pic:pic>
                  <pic:nvPicPr>
                    <pic:cNvPr descr="C:/Users/samue/WebScrapper/HelpArcher-to-pdf/images/d9c1566cc1719668e17ee724be0d301d.png" id="52" name="Picture"/>
                    <pic:cNvPicPr>
                      <a:picLocks noChangeArrowheads="1" noChangeAspect="1"/>
                    </pic:cNvPicPr>
                  </pic:nvPicPr>
                  <pic:blipFill>
                    <a:blip r:embed="rId24"/>
                    <a:stretch>
                      <a:fillRect/>
                    </a:stretch>
                  </pic:blipFill>
                  <pic:spPr bwMode="auto">
                    <a:xfrm>
                      <a:off x="0" y="0"/>
                      <a:ext cx="269507" cy="250256"/>
                    </a:xfrm>
                    <a:prstGeom prst="rect">
                      <a:avLst/>
                    </a:prstGeom>
                    <a:noFill/>
                    <a:ln w="9525">
                      <a:noFill/>
                      <a:headEnd/>
                      <a:tailEnd/>
                    </a:ln>
                  </pic:spPr>
                </pic:pic>
              </a:graphicData>
            </a:graphic>
          </wp:inline>
        </w:drawing>
      </w:r>
      <w:r>
        <w:t xml:space="preserve">&gt; Application Builder &gt; Instalar pacotes.</w:t>
      </w:r>
    </w:p>
    <w:p>
      <w:pPr>
        <w:pStyle w:val="Compact"/>
        <w:numPr>
          <w:ilvl w:val="0"/>
          <w:numId w:val="1008"/>
        </w:numPr>
      </w:pPr>
      <w:r>
        <w:t xml:space="preserve">Na seção Registro de instalação do pacote, clique no nome do pacote que deseja visualizar.</w:t>
      </w:r>
    </w:p>
    <w:p>
      <w:pPr>
        <w:numPr>
          <w:ilvl w:val="0"/>
          <w:numId w:val="1008"/>
        </w:numPr>
      </w:pPr>
      <w:r>
        <w:t xml:space="preserve">Na página Registro de instalação do pacote, na seção Detalhes do objeto, clique em Visualizar todos os erros.</w:t>
      </w:r>
      <w:r>
        <w:br/>
      </w:r>
    </w:p>
    <w:p>
      <w:pPr>
        <w:numPr>
          <w:ilvl w:val="0"/>
          <w:numId w:val="1000"/>
        </w:numPr>
      </w:pPr>
      <w:r>
        <w:rPr>
          <w:b/>
          <w:bCs/>
        </w:rPr>
        <w:t xml:space="preserve">Observação:</w:t>
      </w:r>
      <w:r>
        <w:t xml:space="preserve"> </w:t>
      </w:r>
      <w:r>
        <w:t xml:space="preserve">Para exibir os registros individuais na coluna Erros do registro que você deseja exibir, clique no link Falhas ou no link Avisos. Se você clicar em Visualizar todos os erros, falhas ou avisos, os erros específicos serão abertos em outra página.</w:t>
      </w:r>
    </w:p>
    <w:p>
      <w:pPr>
        <w:pStyle w:val="Compact"/>
        <w:numPr>
          <w:ilvl w:val="0"/>
          <w:numId w:val="1008"/>
        </w:numPr>
      </w:pPr>
      <w:r>
        <w:t xml:space="preserve">Clique no ícone para exporter o arquivo de registros.</w:t>
      </w:r>
    </w:p>
    <w:p>
      <w:pPr>
        <w:pStyle w:val="Compact"/>
        <w:numPr>
          <w:ilvl w:val="0"/>
          <w:numId w:val="1008"/>
        </w:numPr>
      </w:pPr>
      <w:r>
        <w:t xml:space="preserve">Clique em Fechar.</w:t>
      </w:r>
    </w:p>
    <w:p>
      <w:pPr>
        <w:pStyle w:val="FirstParagraph"/>
      </w:pPr>
      <w:r>
        <w:t xml:space="preserve">Para obter uma lista de mensagens de log de instalação de embalagem e informações para corrigir mensagens comuns, consulte</w:t>
      </w:r>
      <w:r>
        <w:t xml:space="preserve"> </w:t>
      </w:r>
      <w:hyperlink r:id="rId53">
        <w:r>
          <w:rPr>
            <w:rStyle w:val="Hyperlink"/>
          </w:rPr>
          <w:t xml:space="preserve">Mensagens de registro de instalação do pacote</w:t>
        </w:r>
      </w:hyperlink>
      <w:r>
        <w:t xml:space="preserve">.</w:t>
      </w:r>
    </w:p>
    <w:p>
      <w:pPr>
        <w:pStyle w:val="BodyText"/>
      </w:pPr>
      <w:r>
        <w:rPr>
          <w:b/>
          <w:bCs/>
        </w:rPr>
        <w:t xml:space="preserve">Importante:</w:t>
      </w:r>
      <w:r>
        <w:t xml:space="preserve"> </w:t>
      </w:r>
      <w:r>
        <w:t xml:space="preserve">Reinstale o pacote do Catálogo corporativo para resolver dependências entre aplicativos. Falha ao reinstalar o pacote pode gerar erros para usuários finais.</w:t>
      </w:r>
    </w:p>
    <w:bookmarkEnd w:id="54"/>
    <w:bookmarkStart w:id="55" w:name="Listadeverificaçãodepósinstalação"/>
    <w:p>
      <w:pPr>
        <w:pStyle w:val="Heading2"/>
      </w:pPr>
      <w:r>
        <w:t xml:space="preserve">Lista de verificação de pós-instalação</w:t>
      </w:r>
    </w:p>
    <w:p>
      <w:pPr>
        <w:pStyle w:val="FirstParagraph"/>
      </w:pPr>
      <w:r>
        <w:t xml:space="preserve">Depois de concluir o processo de instalação de cada pacote, use a lista de verificação a seguir para verificar se você concluiu todas as tarefas de instalação de pacote necessárias em ordem:</w:t>
      </w:r>
    </w:p>
    <w:p>
      <w:pPr>
        <w:pStyle w:val="Compact"/>
        <w:numPr>
          <w:ilvl w:val="0"/>
          <w:numId w:val="1009"/>
        </w:numPr>
      </w:pPr>
      <w:r>
        <w:t xml:space="preserve">Instale o pacote do Catálogo corporativo.</w:t>
      </w:r>
    </w:p>
    <w:p>
      <w:pPr>
        <w:pStyle w:val="Compact"/>
        <w:numPr>
          <w:ilvl w:val="0"/>
          <w:numId w:val="1009"/>
        </w:numPr>
      </w:pPr>
      <w:r>
        <w:t xml:space="preserve">Instale o pacote de caso de uso do Programa de vulnerabilidades de segurança de TI.</w:t>
      </w:r>
    </w:p>
    <w:p>
      <w:pPr>
        <w:pStyle w:val="Compact"/>
        <w:numPr>
          <w:ilvl w:val="0"/>
          <w:numId w:val="1009"/>
        </w:numPr>
      </w:pPr>
      <w:r>
        <w:t xml:space="preserve">Reinstale o pacote do Catálogo corporativo para resolver dependências.</w:t>
      </w:r>
    </w:p>
    <w:p>
      <w:pPr>
        <w:pStyle w:val="Compact"/>
        <w:numPr>
          <w:ilvl w:val="0"/>
          <w:numId w:val="1009"/>
        </w:numPr>
      </w:pPr>
      <w:r>
        <w:t xml:space="preserve">Reinstale o seguinte caso de uso de pré-requisito para resolver dependências: Gerenciamento de problemas.</w:t>
      </w:r>
    </w:p>
    <w:bookmarkEnd w:id="55"/>
    <w:bookmarkStart w:id="57" w:name="Próximospassos"/>
    <w:p>
      <w:pPr>
        <w:pStyle w:val="Heading2"/>
      </w:pPr>
      <w:r>
        <w:t xml:space="preserve">Próximos passos</w:t>
      </w:r>
    </w:p>
    <w:p>
      <w:pPr>
        <w:pStyle w:val="FirstParagraph"/>
      </w:pPr>
      <w:r>
        <w:t xml:space="preserve">Depois de verificar se você concluiu todas as tarefas de instalação necessárias, acesse</w:t>
      </w:r>
      <w:r>
        <w:t xml:space="preserve"> </w:t>
      </w:r>
      <w:hyperlink r:id="rId56">
        <w:r>
          <w:rPr>
            <w:rStyle w:val="Hyperlink"/>
          </w:rPr>
          <w:t xml:space="preserve">Executando o caso de uso de limpeza pós-instalação</w:t>
        </w:r>
      </w:hyperlink>
      <w:r>
        <w:t xml:space="preserve">.</w:t>
      </w:r>
    </w:p>
    <w:bookmarkEnd w:id="57"/>
    <w:bookmarkEnd w:id="58"/>
    <w:bookmarkEnd w:id="5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4" Target="media/rId44.jp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24" Target="media/rId24.png" /><Relationship Type="http://schemas.openxmlformats.org/officeDocument/2006/relationships/image" Id="rId41" Target="media/rId41.png" /><Relationship Type="http://schemas.openxmlformats.org/officeDocument/2006/relationships/hyperlink" Id="rId53" Target="../../Resources/GlobalTopics/gt_install_pkgr_install_msgs.htm" TargetMode="External" /><Relationship Type="http://schemas.openxmlformats.org/officeDocument/2006/relationships/hyperlink" Id="rId56" Target="../uc_post_install_cleanup.htm" TargetMode="External" /><Relationship Type="http://schemas.openxmlformats.org/officeDocument/2006/relationships/hyperlink" Id="rId21" Target="itsrm_vulnmgt_upgrading.htm" TargetMode="External" /></Relationships>
</file>

<file path=word/_rels/footnotes.xml.rels><?xml version="1.0" encoding="UTF-8"?><Relationships xmlns="http://schemas.openxmlformats.org/package/2006/relationships"><Relationship Type="http://schemas.openxmlformats.org/officeDocument/2006/relationships/hyperlink" Id="rId53" Target="../../Resources/GlobalTopics/gt_install_pkgr_install_msgs.htm" TargetMode="External" /><Relationship Type="http://schemas.openxmlformats.org/officeDocument/2006/relationships/hyperlink" Id="rId56" Target="../uc_post_install_cleanup.htm" TargetMode="External" /><Relationship Type="http://schemas.openxmlformats.org/officeDocument/2006/relationships/hyperlink" Id="rId21" Target="itsrm_vulnmgt_upgra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2025-03-06T14:48:30Z</dcterms:created>
  <dcterms:modified xsi:type="dcterms:W3CDTF">2025-03-06T14:48:30Z</dcterms:modified>
</cp:coreProperties>
</file>

<file path=docProps/custom.xml><?xml version="1.0" encoding="utf-8"?>
<Properties xmlns="http://schemas.openxmlformats.org/officeDocument/2006/custom-properties" xmlns:vt="http://schemas.openxmlformats.org/officeDocument/2006/docPropsVTypes"/>
</file>