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X7c122a98d12981458b65ea2b86a986c689c9986"/>
    <w:p>
      <w:pPr>
        <w:pStyle w:val="Heading1"/>
      </w:pPr>
      <w:r>
        <w:t xml:space="preserve">Archer</w:t>
      </w:r>
      <w:r>
        <w:t xml:space="preserve"> </w:t>
      </w:r>
      <w:r>
        <w:t xml:space="preserve">Cyber Incident &amp; Breach Response 2024.03</w:t>
      </w:r>
    </w:p>
    <w:p>
      <w:pPr>
        <w:pStyle w:val="FirstParagraph"/>
      </w:pPr>
      <w:r>
        <w:t xml:space="preserve">A Cyber Incident &amp; Breach Response do</w:t>
      </w:r>
      <w:r>
        <w:t xml:space="preserve"> </w:t>
      </w:r>
      <w:r>
        <w:t xml:space="preserve">Archer</w:t>
      </w:r>
      <w:r>
        <w:t xml:space="preserve"> </w:t>
      </w:r>
      <w:r>
        <w:t xml:space="preserve">permite catalogar ativos organizacionais e de TI de forma centralizada, estabelecendo o contexto de negócios para impulsionar a priorização de incidentes e implementar processos projetados para escalonar, investigar e resolver incidentes declarados. O caso de uso foi projetado de forma que as equipes trabalhem de modo eficaz por meio de procedimentos definidos para triagem e resposta a incidentes, preparando-se contra uma possível violação de dados.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2f92f3f6402c32c830cbd7d3c4e7192fcaabc00">
        <w:r>
          <w:rPr>
            <w:rStyle w:val="Hyperlink"/>
          </w:rPr>
          <w:t xml:space="preserve">Benefícios do caso de uso Cyber Incident &amp; Breach Response</w:t>
        </w:r>
      </w:hyperlink>
    </w:p>
    <w:p>
      <w:pPr>
        <w:pStyle w:val="Compact"/>
        <w:numPr>
          <w:ilvl w:val="0"/>
          <w:numId w:val="1001"/>
        </w:numPr>
      </w:pPr>
      <w:hyperlink w:anchor="Xb8c18cde06f332c29e209dd8e6009d7dfe0a495">
        <w:r>
          <w:rPr>
            <w:rStyle w:val="Hyperlink"/>
          </w:rPr>
          <w:t xml:space="preserve">Como a Cyber Incident &amp; Breach Response se enquadra em um programa de risco e conformidade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hyperlink w:anchor="Casosdeusodepr%C3%A9requisitoeseguintes">
        <w:r>
          <w:rPr>
            <w:rStyle w:val="Hyperlink"/>
          </w:rPr>
          <w:t xml:space="preserve">Casos de uso de pré-requisito e seguintes</w:t>
        </w:r>
      </w:hyperlink>
    </w:p>
    <w:p>
      <w:pPr>
        <w:pStyle w:val="Compact"/>
        <w:numPr>
          <w:ilvl w:val="1"/>
          <w:numId w:val="1002"/>
        </w:numPr>
      </w:pPr>
      <w:hyperlink w:anchor="X4c9f0ed4225641c1ff1d4f7f9a8426f7ce40e4b">
        <w:r>
          <w:rPr>
            <w:rStyle w:val="Hyperlink"/>
          </w:rPr>
          <w:t xml:space="preserve">Casos de uso relacionados em outras áreas de solução</w:t>
        </w:r>
      </w:hyperlink>
    </w:p>
    <w:p>
      <w:pPr>
        <w:pStyle w:val="Compact"/>
        <w:numPr>
          <w:ilvl w:val="0"/>
          <w:numId w:val="1001"/>
        </w:numPr>
      </w:pPr>
      <w:hyperlink w:anchor="Introdu%C3%A7%C3%A3o">
        <w:r>
          <w:rPr>
            <w:rStyle w:val="Hyperlink"/>
          </w:rPr>
          <w:t xml:space="preserve">Introdução</w:t>
        </w:r>
      </w:hyperlink>
    </w:p>
    <w:bookmarkStart w:id="21" w:name="X80eacd31090c68e13d3cbf5f93ea0af54646d9d"/>
    <w:p>
      <w:pPr>
        <w:pStyle w:val="Heading2"/>
      </w:pPr>
      <w:r>
        <w:t xml:space="preserve">Benefícios do caso de uso Cyber Incident &amp; Breach Response</w:t>
      </w:r>
    </w:p>
    <w:p>
      <w:pPr>
        <w:pStyle w:val="FirstParagraph"/>
      </w:pPr>
      <w:r>
        <w:t xml:space="preserve">Os workflows e relatórios integrados foram desenvolvidos para que os gerentes de segurança assumam o controle dos problemas mais urgentes e simplifiquem processos. Os problemas relacionados a investigações de incidentes declarados podem ser monitorados e gerenciados em um portal centralizado com visibilidade completa e geração de relatórios. Se um incidente se transformar em uma violação de dados, workflows e avaliações integrados já criados estarão disponíveis para ajudar a mais ampla equipe comercial da empresa a trabalhar com a equipe de segurança e reagir apropriadamente.</w:t>
      </w:r>
    </w:p>
    <w:p>
      <w:pPr>
        <w:pStyle w:val="BodyText"/>
      </w:pPr>
      <w:r>
        <w:t xml:space="preserve">Com a Cyber Incident &amp; Breach Response do</w:t>
      </w:r>
      <w:r>
        <w:t xml:space="preserve"> </w:t>
      </w:r>
      <w:r>
        <w:t xml:space="preserve">Archer</w:t>
      </w:r>
      <w:r>
        <w:t xml:space="preserve">, os eventos de segurança e cibernéticos declarados podem ser escalonados com consistência e rapidez. O workflow avançado e a percepção sobre a velocidade dos incidentes de segurança e cibernéticos declarados permitem uma utilização mais eficiente dos recursos da equipe de segurança, resultando em mais rapidez nas taxas de análise, resposta e encerramento de incidentes de segurança críticos. Com processos e recursos aprimorados, a equipe de segurança pode aproveitar com mais eficiência a infraestrutura existente (como SIEMs, tecnologias para segurança de endpoint e ferramentas de captura de pacotes e registros) para se concentrar nos incidentes que causam mais impacto. Esses recursos melhoram o preparo da equipe de segurança em caso de incidentes graves que envolvam possíveis violações de dados, aumentando o retorno sobre os investimentos em infraestrutura, reduzindo também o risco de segurança geral.</w:t>
      </w:r>
    </w:p>
    <w:p>
      <w:pPr>
        <w:pStyle w:val="BodyText"/>
      </w:pPr>
      <w:r>
        <w:t xml:space="preserve">Para obter os principais recursos e benefícios deste caso de uso, consulte o Data sheet na</w:t>
      </w:r>
      <w:r>
        <w:t xml:space="preserve"> </w:t>
      </w:r>
      <w:r>
        <w:t xml:space="preserve">Archer Community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https://www.archerirm.community/t5/solution-use-case-overviews/archer-solutions-amp-use-cases/ba-p/572564</w:t>
        </w:r>
      </w:hyperlink>
    </w:p>
    <w:bookmarkEnd w:id="21"/>
    <w:bookmarkStart w:id="25" w:name="Xb8c18cde06f332c29e209dd8e6009d7dfe0a495"/>
    <w:p>
      <w:pPr>
        <w:pStyle w:val="Heading2"/>
      </w:pPr>
      <w:r>
        <w:t xml:space="preserve">Como a Cyber Incident &amp; Breach Response se enquadra em um programa de risco e conformidade</w:t>
      </w:r>
    </w:p>
    <w:p>
      <w:pPr>
        <w:pStyle w:val="FirstParagraph"/>
      </w:pPr>
      <w:r>
        <w:t xml:space="preserve">A Cyber Incident &amp; Breach Response é um caso de uso na área de solução Gerenciamento de riscos de TI e segurança. As seções a seguir descrevem os casos de uso exigidos pela Cyber Incident &amp; Breach Response como pré-requisito, para os quais você pode fazer upgrade quando seu programa amadurecer e que podem ser integrados em outras áreas de soluções para a obtenção de outros contextos e funcionalidades de negócios.</w:t>
      </w:r>
    </w:p>
    <w:bookmarkStart w:id="22" w:name="Casosdeusodeprérequisitoeseguintes"/>
    <w:p>
      <w:pPr>
        <w:pStyle w:val="Heading3"/>
      </w:pPr>
      <w:r>
        <w:t xml:space="preserve">Casos de uso de pré-requisito e seguintes</w:t>
      </w:r>
    </w:p>
    <w:p>
      <w:pPr>
        <w:pStyle w:val="TableCaption"/>
      </w:pPr>
      <w:r>
        <w:t xml:space="preserve">A tabela a seguir mostra como este caso de uso se encaixa na área de solução geral Gerenciamento de riscos de TI e segurança.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A tabela a seguir mostra como este caso de uso se encaixa na área de solução geral Gerenciamento de riscos de TI e segurança."/>
      </w:tblPr>
      <w:tblGrid>
        <w:gridCol w:w="2613"/>
        <w:gridCol w:w="2613"/>
        <w:gridCol w:w="2692"/>
      </w:tblGrid>
      <w:tr>
        <w:trPr>
          <w:tblHeader w:val="on"/>
        </w:trPr>
        <w:tc>
          <w:tcPr/>
          <w:p>
            <w:pPr>
              <w:jc w:val="center"/>
            </w:pPr>
            <w:r>
              <w:t xml:space="preserve">Pré-requisitos</w:t>
            </w:r>
          </w:p>
        </w:tc>
        <w:tc>
          <w:tcPr/>
          <w:p>
            <w:pPr>
              <w:jc w:val="center"/>
            </w:pPr>
            <w:r>
              <w:t xml:space="preserve">O que você tem</w:t>
            </w:r>
          </w:p>
        </w:tc>
        <w:tc>
          <w:tcPr/>
          <w:p>
            <w:pPr>
              <w:jc w:val="center"/>
            </w:pPr>
            <w:r>
              <w:t xml:space="preserve">O que vem depois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N/D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Estabelecer sua hierarquia de negócios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Consolidar e coordenar resultados e planos de remediação a partir de avaliações de risco, conformidade e auditorias, entre outras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Gerenciar exceções com aprovação/aceitação adequada de riscos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Gerenciar contatos e equipe do SOC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Gerencie incidentes, inclusive a geração de relatórios, o escalonamento e a correção, usando um processo de workflow avançado.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Gerencie os incidentes declarados usando um processo simplificado de workflow avançado.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Gerenciar operações de segurança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Gerenciar as violações de dados</w:t>
            </w:r>
          </w:p>
        </w:tc>
        <w:tc>
          <w:tcPr/>
          <w:p>
            <w:pPr>
              <w:pStyle w:val="FirstParagraph"/>
            </w:pPr>
            <w:r>
              <w:t xml:space="preserve"> </w:t>
            </w:r>
          </w:p>
        </w:tc>
      </w:tr>
    </w:tbl>
    <w:bookmarkEnd w:id="22"/>
    <w:bookmarkStart w:id="24" w:name="X95bed792086d043729f2014098ef2ba58526a7a"/>
    <w:p>
      <w:pPr>
        <w:pStyle w:val="Heading3"/>
      </w:pPr>
      <w:r>
        <w:t xml:space="preserve">Casos de uso relacionados em outras áreas de solução</w:t>
      </w:r>
    </w:p>
    <w:p>
      <w:pPr>
        <w:pStyle w:val="TableCaption"/>
      </w:pPr>
      <w:r>
        <w:t xml:space="preserve">A tabela a seguir mostra os recursos adicionais que estarão disponíveis se você tiver os casos de uso específicos licenciados.</w:t>
      </w:r>
    </w:p>
    <w:p>
      <w:pPr>
        <w:pStyle w:val="TableCaption"/>
      </w:pPr>
      <w:r>
        <w:t xml:space="preserve">Para obter informações sobre estes casos de uso do</w:t>
      </w:r>
      <w:r>
        <w:t xml:space="preserve"> </w:t>
      </w:r>
      <w:r>
        <w:t xml:space="preserve">Archer</w:t>
      </w:r>
      <w:r>
        <w:t xml:space="preserve">, consulte a</w:t>
      </w:r>
      <w:r>
        <w:t xml:space="preserve"> </w:t>
      </w:r>
      <w:hyperlink r:id="rId23">
        <w:r>
          <w:rPr>
            <w:rStyle w:val="Hyperlink"/>
          </w:rPr>
          <w:t xml:space="preserve">Ajuda das soluções Archer.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os recursos adicionais que estarão disponíveis se você tiver os casos de uso específicos licenciados.Para obter informações sobre estes casos de uso do Archer, consulte a Ajuda das soluções Arche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Nome do caso de uso</w:t>
            </w:r>
          </w:p>
        </w:tc>
        <w:tc>
          <w:tcPr/>
          <w:p>
            <w:pPr>
              <w:pStyle w:val="BodyText"/>
            </w:pPr>
            <w:r>
              <w:t xml:space="preserve">Nome do aplicativo</w:t>
            </w:r>
          </w:p>
        </w:tc>
        <w:tc>
          <w:tcPr/>
          <w:p>
            <w:pPr>
              <w:pStyle w:val="BodyText"/>
            </w:pPr>
            <w:r>
              <w:t xml:space="preserve">Principal finalidade da relação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r>
              <w:t xml:space="preserve">Evento de crise</w:t>
            </w:r>
          </w:p>
        </w:tc>
        <w:tc>
          <w:tcPr/>
          <w:p>
            <w:pPr>
              <w:pStyle w:val="BodyText"/>
            </w:pPr>
            <w:r>
              <w:t xml:space="preserve">Usando o Gerenciamento de crises do</w:t>
            </w:r>
            <w:r>
              <w:t xml:space="preserve"> </w:t>
            </w:r>
            <w:r>
              <w:t xml:space="preserve">Archer</w:t>
            </w:r>
            <w:r>
              <w:t xml:space="preserve">, você pode criar um registro de evento de crise para que sua equipe de eventos de crise o monitore e resolva.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Qualquer caso de uso que contenha o aplicativo Riscos</w:t>
            </w:r>
          </w:p>
        </w:tc>
        <w:tc>
          <w:tcPr/>
          <w:p>
            <w:pPr>
              <w:pStyle w:val="BodyText"/>
            </w:pPr>
            <w:r>
              <w:t xml:space="preserve">Riscos</w:t>
            </w:r>
          </w:p>
        </w:tc>
        <w:tc>
          <w:tcPr/>
          <w:p>
            <w:pPr>
              <w:pStyle w:val="BodyText"/>
            </w:pPr>
            <w:r>
              <w:t xml:space="preserve">É possível vincular seu registro de incidente aos riscos relacionados no aplicativo Riscos.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</w:tbl>
    <w:bookmarkEnd w:id="24"/>
    <w:bookmarkEnd w:id="25"/>
    <w:bookmarkStart w:id="30" w:name="Introdução"/>
    <w:p>
      <w:pPr>
        <w:pStyle w:val="Heading2"/>
      </w:pPr>
      <w:r>
        <w:t xml:space="preserve">Introdução</w:t>
      </w:r>
    </w:p>
    <w:p>
      <w:pPr>
        <w:pStyle w:val="Compact"/>
        <w:numPr>
          <w:ilvl w:val="0"/>
          <w:numId w:val="1005"/>
        </w:numPr>
      </w:pPr>
      <w:hyperlink r:id="rId26">
        <w:r>
          <w:rPr>
            <w:rStyle w:val="Hyperlink"/>
          </w:rPr>
          <w:t xml:space="preserve">Saiba mais sobre a arquitetura de casos de uso</w:t>
        </w:r>
      </w:hyperlink>
    </w:p>
    <w:p>
      <w:pPr>
        <w:pStyle w:val="Compact"/>
        <w:numPr>
          <w:ilvl w:val="0"/>
          <w:numId w:val="1005"/>
        </w:numPr>
      </w:pPr>
      <w:hyperlink r:id="rId27">
        <w:r>
          <w:rPr>
            <w:rStyle w:val="Hyperlink"/>
          </w:rPr>
          <w:t xml:space="preserve">Saiba como funciona o caso de uso</w:t>
        </w:r>
      </w:hyperlink>
    </w:p>
    <w:p>
      <w:pPr>
        <w:pStyle w:val="Compact"/>
        <w:numPr>
          <w:ilvl w:val="0"/>
          <w:numId w:val="1005"/>
        </w:numPr>
      </w:pPr>
      <w:hyperlink r:id="rId28">
        <w:r>
          <w:rPr>
            <w:rStyle w:val="Hyperlink"/>
          </w:rPr>
          <w:t xml:space="preserve">Instalar e configurar o caso de uso</w:t>
        </w:r>
      </w:hyperlink>
    </w:p>
    <w:p>
      <w:pPr>
        <w:pStyle w:val="Compact"/>
        <w:numPr>
          <w:ilvl w:val="0"/>
          <w:numId w:val="1005"/>
        </w:numPr>
      </w:pPr>
      <w:hyperlink r:id="rId29">
        <w:r>
          <w:rPr>
            <w:rStyle w:val="Hyperlink"/>
          </w:rPr>
          <w:t xml:space="preserve">O que há de novo nesta versão</w:t>
        </w:r>
      </w:hyperlink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ReleaseNotes/itsrm_cibr_2024_03_RN.htm" TargetMode="External" /><Relationship Type="http://schemas.openxmlformats.org/officeDocument/2006/relationships/hyperlink" Id="rId23" Target="https://help.archerirm.cloud/archer_suite_help/en-us/Content/PortalHome/SolutionsHome/sol_home.htm" TargetMode="External" /><Relationship Type="http://schemas.openxmlformats.org/officeDocument/2006/relationships/hyperlink" Id="rId20" Target="https://www.archerirm.community/t5/solution-use-case-overviews/archer-solutions-amp-use-cases/ba-p/572564" TargetMode="External" /><Relationship Type="http://schemas.openxmlformats.org/officeDocument/2006/relationships/hyperlink" Id="rId26" Target="itsrm_cibr_design.htm" TargetMode="External" /><Relationship Type="http://schemas.openxmlformats.org/officeDocument/2006/relationships/hyperlink" Id="rId28" Target="itsrm_cibr_install.htm" TargetMode="External" /><Relationship Type="http://schemas.openxmlformats.org/officeDocument/2006/relationships/hyperlink" Id="rId27" Target="itsrm_cibr_using_the_uc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ReleaseNotes/itsrm_cibr_2024_03_RN.htm" TargetMode="External" /><Relationship Type="http://schemas.openxmlformats.org/officeDocument/2006/relationships/hyperlink" Id="rId23" Target="https://help.archerirm.cloud/archer_suite_help/en-us/Content/PortalHome/SolutionsHome/sol_home.htm" TargetMode="External" /><Relationship Type="http://schemas.openxmlformats.org/officeDocument/2006/relationships/hyperlink" Id="rId20" Target="https://www.archerirm.community/t5/solution-use-case-overviews/archer-solutions-amp-use-cases/ba-p/572564" TargetMode="External" /><Relationship Type="http://schemas.openxmlformats.org/officeDocument/2006/relationships/hyperlink" Id="rId26" Target="itsrm_cibr_design.htm" TargetMode="External" /><Relationship Type="http://schemas.openxmlformats.org/officeDocument/2006/relationships/hyperlink" Id="rId28" Target="itsrm_cibr_install.htm" TargetMode="External" /><Relationship Type="http://schemas.openxmlformats.org/officeDocument/2006/relationships/hyperlink" Id="rId27" Target="itsrm_cibr_using_the_uc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2025-03-06T14:48:41Z</dcterms:created>
  <dcterms:modified xsi:type="dcterms:W3CDTF">2025-03-06T14:48:41Z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