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49f65bd76c002c5ed942de16c3cd039c318f48b"/>
    <w:p>
      <w:pPr>
        <w:pStyle w:val="Heading1"/>
      </w:pPr>
      <w:r>
        <w:t xml:space="preserve">Notas da versão do Cyber Incident &amp; Breach Response 2024.03</w:t>
      </w:r>
    </w:p>
    <w:p>
      <w:pPr>
        <w:numPr>
          <w:ilvl w:val="0"/>
          <w:numId w:val="1001"/>
        </w:numPr>
      </w:pPr>
      <w:r>
        <w:t xml:space="preserve">O caso de uso foi reembalado devido a pequenas atualizações do Archer Insight. Não há alterações relevantes na funcionalidade.</w:t>
      </w:r>
    </w:p>
    <w:p>
      <w:pPr>
        <w:numPr>
          <w:ilvl w:val="0"/>
          <w:numId w:val="1001"/>
        </w:numPr>
      </w:pPr>
      <w:r>
        <w:t xml:space="preserve">Na documentação, foram atualizadas as referências à aplicação Riscos (antigo Registro de riscos).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2025-03-06T14:48:44Z</dcterms:created>
  <dcterms:modified xsi:type="dcterms:W3CDTF">2025-03-06T14:48:44Z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