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f65073ea44e9e3bc95eac15ede657a3152c48ae"/>
    <w:p>
      <w:pPr>
        <w:pStyle w:val="Heading1"/>
      </w:pPr>
      <w:r>
        <w:t xml:space="preserve">Documentando procedimentos de resposta a incidentes</w:t>
      </w:r>
    </w:p>
    <w:p>
      <w:pPr>
        <w:pStyle w:val="FirstParagraph"/>
      </w:pPr>
      <w:r>
        <w:t xml:space="preserve">Os procedimentos de resposta definem as tarefas que os manipuladores de incidentes devem concluir ou as diretrizes ou checklists que devem seguir ao responder a um incidente. O</w:t>
      </w:r>
      <w:r>
        <w:t xml:space="preserve"> </w:t>
      </w:r>
      <w:r>
        <w:t xml:space="preserve">Archer</w:t>
      </w:r>
      <w:r>
        <w:t xml:space="preserve"> </w:t>
      </w:r>
      <w:r>
        <w:t xml:space="preserve">Cyber Incident &amp; Breach Response permite que você mantenha uma biblioteca de todos os seus procedimentos de resposta padrão.</w:t>
      </w:r>
    </w:p>
    <w:p>
      <w:pPr>
        <w:pStyle w:val="BodyText"/>
      </w:pPr>
      <w:r>
        <w:t xml:space="preserve">Definindo procedimentos de resposta, você consegue fornecer manipuladores de incidentes com orientação e processos consistentes para analisar incidentes e tratar violações. Quando um manipulador de incidentes categoriza um incidente, todos os procedimentos de resposta que correspondem a essa categoria são automaticamente copiados da biblioteca de procedimentos de resposta a incidentes para o aplicativo Procedimentos de resposta a incidentes e vinculados ao registro de incidente.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2025-03-06T14:49:02Z</dcterms:created>
  <dcterms:modified xsi:type="dcterms:W3CDTF">2025-03-06T14:49:02Z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