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respondendo-a-incidentes-1"/>
    <w:p>
      <w:pPr>
        <w:pStyle w:val="Heading1"/>
      </w:pPr>
      <w:r>
        <w:t xml:space="preserve"> Respondendo a incidentes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WorkflowderespostaaincidentesL1">
        <w:r>
          <w:rPr>
            <w:rStyle w:val="Hyperlink"/>
          </w:rPr>
          <w:t xml:space="preserve">Workflow de resposta a incidentes – L1</w:t>
        </w:r>
      </w:hyperlink>
    </w:p>
    <w:p>
      <w:pPr>
        <w:pStyle w:val="Compact"/>
        <w:numPr>
          <w:ilvl w:val="0"/>
          <w:numId w:val="1001"/>
        </w:numPr>
      </w:pPr>
      <w:hyperlink w:anchor="WorkflowderespostaaincidentesL2">
        <w:r>
          <w:rPr>
            <w:rStyle w:val="Hyperlink"/>
          </w:rPr>
          <w:t xml:space="preserve">Workflow de resposta a incidentes – L2</w:t>
        </w:r>
      </w:hyperlink>
    </w:p>
    <w:p>
      <w:pPr>
        <w:pStyle w:val="Compact"/>
        <w:numPr>
          <w:ilvl w:val="0"/>
          <w:numId w:val="1001"/>
        </w:numPr>
      </w:pPr>
      <w:hyperlink w:anchor="X3b191982d5d4014dd9ce8679725ddb10958c876">
        <w:r>
          <w:rPr>
            <w:rStyle w:val="Hyperlink"/>
          </w:rPr>
          <w:t xml:space="preserve">Alertas de segurança versus incidentes de segurança</w:t>
        </w:r>
      </w:hyperlink>
    </w:p>
    <w:p>
      <w:pPr>
        <w:pStyle w:val="Compact"/>
        <w:numPr>
          <w:ilvl w:val="0"/>
          <w:numId w:val="1001"/>
        </w:numPr>
      </w:pPr>
      <w:hyperlink w:anchor="Xbaa5d6a648f86d5b9b92d73fadebc91722aa0fb">
        <w:r>
          <w:rPr>
            <w:rStyle w:val="Hyperlink"/>
          </w:rPr>
          <w:t xml:space="preserve">Agregando vários alertas a um só incidente</w:t>
        </w:r>
      </w:hyperlink>
    </w:p>
    <w:p>
      <w:pPr>
        <w:pStyle w:val="Compact"/>
        <w:numPr>
          <w:ilvl w:val="0"/>
          <w:numId w:val="1001"/>
        </w:numPr>
      </w:pPr>
      <w:hyperlink w:anchor="Responderaincidentes">
        <w:r>
          <w:rPr>
            <w:rStyle w:val="Hyperlink"/>
          </w:rPr>
          <w:t xml:space="preserve">Responder a incidentes</w:t>
        </w:r>
      </w:hyperlink>
    </w:p>
    <w:bookmarkStart w:id="24" w:name="WorkflowderespostaaincidentesL1"/>
    <w:p>
      <w:pPr>
        <w:pStyle w:val="Heading2"/>
      </w:pPr>
      <w:r>
        <w:t xml:space="preserve">Workflow de resposta a incidentes – L1</w:t>
      </w:r>
    </w:p>
    <w:p>
      <w:pPr>
        <w:pStyle w:val="FirstParagraph"/>
      </w:pPr>
      <w:r>
        <w:t xml:space="preserve">O caso de uso Cyber Incident &amp; Breach Management foi desenvolvido para permitir os workflows de resposta a incidentes a seguir.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workflow de Cyber Incident &amp; Breach Response L1</w:t>
        </w:r>
      </w:hyperlink>
    </w:p>
    <w:p>
      <w:pPr>
        <w:pStyle w:val="BodyText"/>
      </w:pPr>
      <w:r>
        <w:drawing>
          <wp:inline>
            <wp:extent cx="5334000" cy="6052617"/>
            <wp:effectExtent b="0" l="0" r="0" t="0"/>
            <wp:docPr descr="Diagrama de fluxo de trabalho N1" title="Diagrama de fluxo de trabalho N1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ddb9e39f6cd48db494d47a607193c7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WorkflowderespostaaincidentesL2"/>
    <w:p>
      <w:pPr>
        <w:pStyle w:val="Heading2"/>
      </w:pPr>
      <w:r>
        <w:t xml:space="preserve">Workflow de resposta a incidentes – L2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Diagrama de workflow de Cyber Incident &amp; Breach Response L2</w:t>
        </w:r>
      </w:hyperlink>
    </w:p>
    <w:p>
      <w:pPr>
        <w:pStyle w:val="BodyText"/>
      </w:pPr>
      <w:r>
        <w:drawing>
          <wp:inline>
            <wp:extent cx="5334000" cy="6052617"/>
            <wp:effectExtent b="0" l="0" r="0" t="0"/>
            <wp:docPr descr="Diagrama de fluxo de trabalho N2" title="Diagrama de fluxo de trabalho N2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afa18e56c3b728f4e083c712b012e4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workflow de gerenciamento de problemas só estará disponível se você tiver licenciado o Issues Management.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diagramas só incluem as notificações que são essenciais para os workflows. Para obter uma lista completa das notificações,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bookmarkEnd w:id="29"/>
    <w:bookmarkStart w:id="30" w:name="X6719cc99acb97e38d4289c1c46ad19b7bb77fdd"/>
    <w:p>
      <w:pPr>
        <w:pStyle w:val="Heading2"/>
      </w:pPr>
      <w:r>
        <w:t xml:space="preserve">Alertas de segurança versus incidentes de segurança</w:t>
      </w:r>
    </w:p>
    <w:p>
      <w:pPr>
        <w:pStyle w:val="FirstParagraph"/>
      </w:pPr>
      <w:r>
        <w:t xml:space="preserve">Um alerta de segurança é um evento correlacionado com uma consequência negativa, como falhas no sistema, inundações de pacotes, uso não autorizado de privilégios do sistema, acesso não autorizado a dados confidenciais e execução de malware que destrói os dados ou uma combinação de 1 ou mais desses eventos.</w:t>
      </w:r>
    </w:p>
    <w:p>
      <w:pPr>
        <w:pStyle w:val="BodyText"/>
      </w:pPr>
      <w:r>
        <w:t xml:space="preserve">Um incidente de segurança é um grupo distinto de alertas de segurança que envolvem invasores específicos, ataques, objetivos, locais e regulagem que resultam em uma violação ou ameaça iminente de violação de políticas de segurança de computador, políticas de uso aceitável ou práticas de segurança padrão.</w:t>
      </w:r>
    </w:p>
    <w:p>
      <w:pPr>
        <w:pStyle w:val="BodyText"/>
      </w:pPr>
      <w:r>
        <w:t xml:space="preserve">O Cyber Incident &amp; Breach Response pode coletar alertas de ferramentas SIEM e agregar alertas em incidentes, pode coletar incidentes do NetWitness ou permite criar um incidente manualmente. Dados de alerta são armazenados no aplicativo Alertas de segurança e os incidentes agregados são criados no aplicativo Incidentes de segurança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Um incidente de segurança pode ser composto por vários alertas de segurança, porém, só é possível vincular um alerta de segurança a um único incidente de segurança. É preciso vincular todos os alertas a um incidente.</w:t>
      </w:r>
    </w:p>
    <w:bookmarkEnd w:id="30"/>
    <w:bookmarkStart w:id="31" w:name="Agregandováriosalertasaumsóincidente"/>
    <w:p>
      <w:pPr>
        <w:pStyle w:val="Heading2"/>
      </w:pPr>
      <w:r>
        <w:t xml:space="preserve">Agregando vários alertas a um só incidente</w:t>
      </w:r>
    </w:p>
    <w:p>
      <w:pPr>
        <w:pStyle w:val="FirstParagraph"/>
      </w:pPr>
      <w:r>
        <w:t xml:space="preserve">O NetWitness Respond coleta alertas de várias origens e permite configurar regras para agregar alertas em incidentes de modo que os manipuladores de incidentes possam investigar e remediar vários alertas no contexto de um só incidente.</w:t>
      </w:r>
    </w:p>
    <w:p>
      <w:pPr>
        <w:pStyle w:val="BodyText"/>
      </w:pPr>
      <w:r>
        <w:t xml:space="preserve">Se você estiver usando uma ferramenta SIEM de terceiros como fonte de alerta, o UCF permitirá definir os critérios de agregação pelos quais os alertas serão agrupados em incidentes.</w:t>
      </w:r>
    </w:p>
    <w:p>
      <w:pPr>
        <w:pStyle w:val="BodyText"/>
      </w:pPr>
      <w:r>
        <w:t xml:space="preserve">Em ambos os casos, a adição de alertas a um incidente continua de acordo com os critérios de agregação até que o incidente seja atribuído.</w:t>
      </w:r>
    </w:p>
    <w:bookmarkEnd w:id="31"/>
    <w:bookmarkStart w:id="32" w:name="Responderaincidentes"/>
    <w:p>
      <w:pPr>
        <w:pStyle w:val="Heading2"/>
      </w:pPr>
      <w:r>
        <w:t xml:space="preserve">Responder a incidentes</w:t>
      </w:r>
    </w:p>
    <w:p>
      <w:pPr>
        <w:numPr>
          <w:ilvl w:val="0"/>
          <w:numId w:val="1002"/>
        </w:numPr>
      </w:pPr>
      <w:r>
        <w:t xml:space="preserve">Crie um incidente e atribua as partes interessadas usando um dos seguintes métodos:</w:t>
      </w:r>
    </w:p>
    <w:p>
      <w:pPr>
        <w:pStyle w:val="Compact"/>
        <w:numPr>
          <w:ilvl w:val="1"/>
          <w:numId w:val="1003"/>
        </w:numPr>
      </w:pPr>
      <w:r>
        <w:t xml:space="preserve">Automaticamente, usando o UCF (Unified Collector Framework) ou o NW IM Integration Service para agregar alertas de uma ferramenta SIEM a incidentes</w:t>
      </w:r>
    </w:p>
    <w:p>
      <w:pPr>
        <w:pStyle w:val="Compact"/>
        <w:numPr>
          <w:ilvl w:val="1"/>
          <w:numId w:val="1003"/>
        </w:numPr>
      </w:pPr>
      <w:r>
        <w:t xml:space="preserve">Manualmente, no aplicativo Incidentes de segurança do Archer, ou pelo feed de dados.</w:t>
      </w:r>
    </w:p>
    <w:p>
      <w:pPr>
        <w:pStyle w:val="Compact"/>
        <w:numPr>
          <w:ilvl w:val="0"/>
          <w:numId w:val="1002"/>
        </w:numPr>
      </w:pPr>
      <w:r>
        <w:t xml:space="preserve">Inicie a revisão do incidente analisando todas as informações que foram apresentadas até o momento e determina o coordenador do incidente apropriado e os membros adicionais da equipe.</w:t>
      </w:r>
    </w:p>
    <w:p>
      <w:pPr>
        <w:pStyle w:val="Compact"/>
        <w:numPr>
          <w:ilvl w:val="0"/>
          <w:numId w:val="1002"/>
        </w:numPr>
      </w:pPr>
      <w:r>
        <w:t xml:space="preserve">Analise as informações no registro de incidente, incluindo todos os alertas e detalhes de alerta que correspondem ao incidente e quaisquer procedimentos e tarefas de resposta a incidentes gerados automaticamente. Além disso, as partes interessadas também podem adicionar manualmente procedimentos ou tarefas, conforme necessário, vincular o registro a incidentes relacionados e substituir a prioridade do incidente.</w:t>
      </w:r>
    </w:p>
    <w:p>
      <w:pPr>
        <w:pStyle w:val="Compact"/>
        <w:numPr>
          <w:ilvl w:val="0"/>
          <w:numId w:val="1002"/>
        </w:numPr>
      </w:pPr>
      <w:r>
        <w:t xml:space="preserve">Atribua o registro do incidente ao proprietário do escalonamento.</w:t>
      </w:r>
    </w:p>
    <w:p>
      <w:pPr>
        <w:pStyle w:val="Compact"/>
        <w:numPr>
          <w:ilvl w:val="0"/>
          <w:numId w:val="1002"/>
        </w:numPr>
      </w:pPr>
      <w:r>
        <w:t xml:space="preserve">Analise o incidente escalado.</w:t>
      </w:r>
    </w:p>
    <w:p>
      <w:pPr>
        <w:pStyle w:val="Compact"/>
        <w:numPr>
          <w:ilvl w:val="1"/>
          <w:numId w:val="1004"/>
        </w:numPr>
      </w:pPr>
      <w:r>
        <w:t xml:space="preserve">Analise o incidente escalado atribuído e determine se o escalonamento é válido. Dependendo da validade do escalonamento, prossiga para analisar o incidente, solicite informações adicionais ou reatribua as partes interessadas.</w:t>
      </w:r>
    </w:p>
    <w:p>
      <w:pPr>
        <w:numPr>
          <w:ilvl w:val="1"/>
          <w:numId w:val="1004"/>
        </w:numPr>
      </w:pPr>
      <w:r>
        <w:t xml:space="preserve">Durante a análise do incidente escalado, conclua a análise de investigação do incidente, uma análise jurídica e também analise quaisquer procedimentos e tarefas de resposta ao incidente gerados automaticamente com base na categoria de ameaça. Se necessário, o manipulador L2 também pode adicionar outros procedimentos e tarefas de resposta ao incidente e documentar detalhes de investigação do incidente nas entradas do registro.</w:t>
      </w:r>
    </w:p>
    <w:p>
      <w:pPr>
        <w:numPr>
          <w:ilvl w:val="1"/>
          <w:numId w:val="1004"/>
        </w:numPr>
      </w:pPr>
      <w:r>
        <w:t xml:space="preserve">Depois de confirmar um comprometimento da segurança, você precisa documentar o impacto do incidente. Você pode documentar o impacto do incidente sobre negócios, políticas corporativas, confidencialidade, integridade e disponibilidade. Se tiver sido identificada uma perda de dados, você também poderá reportar uma violação de dados.</w:t>
      </w:r>
    </w:p>
    <w:p>
      <w:pPr>
        <w:numPr>
          <w:ilvl w:val="0"/>
          <w:numId w:val="1002"/>
        </w:numPr>
      </w:pPr>
      <w:r>
        <w:t xml:space="preserve">Para cada problema que precisa de remediação, crie um registro de resultados na guia Remediação do registro de incidente de segurança. Descreva a ação a ser concluída, a relevância para o resultado, uma fila de destino e um tipo de tarefa de remediação.</w:t>
      </w:r>
    </w:p>
    <w:p>
      <w:pPr>
        <w:numPr>
          <w:ilvl w:val="0"/>
          <w:numId w:val="1002"/>
        </w:numPr>
      </w:pPr>
      <w:r>
        <w:t xml:space="preserve">Documenta a análise do incidente. Forneça os resultados do incidente, os atores e as técnicas que contribuíram para o incidente, os detalhes de destino do incidente e adicione os controles de segurança associados à descoberta do incidente.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cibr_incident_resp_wf_L1.vsd" TargetMode="External" /><Relationship Type="http://schemas.openxmlformats.org/officeDocument/2006/relationships/hyperlink" Id="rId25" Target="../../Resources/Images/Solutions/ITSecRisk/itsrm_cibr_incident_resp_wf_L2.vs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cibr_incident_resp_wf_L1.vsd" TargetMode="External" /><Relationship Type="http://schemas.openxmlformats.org/officeDocument/2006/relationships/hyperlink" Id="rId25" Target="../../Resources/Images/Solutions/ITSecRisk/itsrm_cibr_incident_resp_wf_L2.vs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2025-03-06T14:49:20Z</dcterms:created>
  <dcterms:modified xsi:type="dcterms:W3CDTF">2025-03-06T14:49:20Z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