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respondendo-a-violações-de-dados-1"/>
    <w:p>
      <w:pPr>
        <w:pStyle w:val="Heading1"/>
      </w:pPr>
      <w:r>
        <w:t xml:space="preserve">Respondendo a violações de dados</w:t>
      </w:r>
    </w:p>
    <w:p>
      <w:pPr>
        <w:pStyle w:val="FirstParagraph"/>
      </w:pPr>
      <w:r>
        <w:t xml:space="preserve">O caso de uso Cyber Incident &amp; Breach Response do</w:t>
      </w:r>
      <w:r>
        <w:t xml:space="preserve"> </w:t>
      </w:r>
      <w:r>
        <w:t xml:space="preserve">Archer</w:t>
      </w:r>
      <w:r>
        <w:t xml:space="preserve"> </w:t>
      </w:r>
      <w:r>
        <w:t xml:space="preserve">foi desenvolvido para habilitar o seguinte workflow de resposta a violações.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0">
        <w:r>
          <w:rPr>
            <w:rStyle w:val="Hyperlink"/>
          </w:rPr>
          <w:t xml:space="preserve">Diagrama de workflow de violação de dados de Cyber Incident &amp; Breach Response</w:t>
        </w:r>
      </w:hyperlink>
    </w:p>
    <w:p>
      <w:pPr>
        <w:pStyle w:val="BodyText"/>
      </w:pPr>
      <w:r>
        <w:drawing>
          <wp:inline>
            <wp:extent cx="5334000" cy="8326437"/>
            <wp:effectExtent b="0" l="0" r="0" t="0"/>
            <wp:docPr descr="Workflow de resposta a violação de dados " title="Resposta à violação de dado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81a78837a395217a822d05fba4c049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diagrama somente inclui as notificações mais importantes do workflow. Para obter uma lista completa das notificações, consulte o</w:t>
      </w:r>
      <w:r>
        <w:t xml:space="preserve"> </w:t>
      </w:r>
      <w:r>
        <w:rPr>
          <w:i/>
          <w:iCs/>
        </w:rPr>
        <w:t xml:space="preserve">Dicionário de dados</w:t>
      </w:r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../../Resources/Images/Solutions/ITSecRisk/itsrm_cibr_data_breach_response.vs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Resources/Images/Solutions/ITSecRisk/itsrm_cibr_data_breach_response.vs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2025-03-06T14:49:29Z</dcterms:created>
  <dcterms:modified xsi:type="dcterms:W3CDTF">2025-03-06T14:49:29Z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