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mc-main-content"/>
    <w:bookmarkStart w:id="35" w:name="X70a413241de7bdec6cf277d9a25682dd3f5b6c9"/>
    <w:p>
      <w:pPr>
        <w:pStyle w:val="Heading1"/>
      </w:pPr>
      <w:bookmarkStart w:id="20" w:name="aanchor1"/>
      <w:bookmarkEnd w:id="20"/>
      <w:r>
        <w:t xml:space="preserve"> </w:t>
      </w:r>
      <w:r>
        <w:t xml:space="preserve">Configurando feeds de dados do Cyber Incident &amp; Breach Response</w:t>
      </w:r>
    </w:p>
    <w:p>
      <w:pPr>
        <w:pStyle w:val="FirstParagraph"/>
      </w:pPr>
      <w:r>
        <w:t xml:space="preserve">Conclua as tarefas para configurar os feeds de dados do Cyber Incident &amp; Breach Response.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6f3781196af4366396b58d29ead509298c20d10">
        <w:r>
          <w:rPr>
            <w:rStyle w:val="Hyperlink"/>
          </w:rPr>
          <w:t xml:space="preserve">Sequência de importação de feed de dados</w:t>
        </w:r>
      </w:hyperlink>
    </w:p>
    <w:p>
      <w:pPr>
        <w:pStyle w:val="Compact"/>
        <w:numPr>
          <w:ilvl w:val="0"/>
          <w:numId w:val="1001"/>
        </w:numPr>
      </w:pPr>
      <w:hyperlink w:anchor="Tarefa1Configurarfeeddedados">
        <w:r>
          <w:rPr>
            <w:rStyle w:val="Hyperlink"/>
          </w:rPr>
          <w:t xml:space="preserve">Tarefa 1: Configurar feed de dados</w:t>
        </w:r>
      </w:hyperlink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2"/>
        </w:numPr>
      </w:pPr>
      <w:hyperlink w:anchor="TipodetransportedoArcherWebServices">
        <w:r>
          <w:rPr>
            <w:rStyle w:val="Hyperlink"/>
          </w:rPr>
          <w:t xml:space="preserve">Tipo de transporte do Archer Web Services</w:t>
        </w:r>
      </w:hyperlink>
    </w:p>
    <w:p>
      <w:pPr>
        <w:pStyle w:val="Compact"/>
        <w:numPr>
          <w:ilvl w:val="0"/>
          <w:numId w:val="1001"/>
        </w:numPr>
      </w:pPr>
      <w:hyperlink w:anchor="Tarefa2Agendarfeedsdedados">
        <w:r>
          <w:rPr>
            <w:rStyle w:val="Hyperlink"/>
          </w:rPr>
          <w:t xml:space="preserve">Tarefa 2: Agendar feeds de dados</w:t>
        </w:r>
      </w:hyperlink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3"/>
        </w:numPr>
      </w:pPr>
      <w:hyperlink w:anchor="Validandoumfeeddedados">
        <w:r>
          <w:rPr>
            <w:rStyle w:val="Hyperlink"/>
          </w:rPr>
          <w:t xml:space="preserve">Validando um feed de dados</w:t>
        </w:r>
      </w:hyperlink>
    </w:p>
    <w:p>
      <w:pPr>
        <w:pStyle w:val="Compact"/>
        <w:numPr>
          <w:ilvl w:val="1"/>
          <w:numId w:val="1003"/>
        </w:numPr>
      </w:pPr>
      <w:hyperlink w:anchor="Executandoumfeeddedados">
        <w:r>
          <w:rPr>
            <w:rStyle w:val="Hyperlink"/>
          </w:rPr>
          <w:t xml:space="preserve">Executando um feed de dados</w:t>
        </w:r>
      </w:hyperlink>
    </w:p>
    <w:p>
      <w:pPr>
        <w:pStyle w:val="Compact"/>
        <w:numPr>
          <w:ilvl w:val="1"/>
          <w:numId w:val="1003"/>
        </w:numPr>
      </w:pPr>
      <w:hyperlink w:anchor="X944a196d82be0815e5e420ce3ed7e313e540eb9">
        <w:r>
          <w:rPr>
            <w:rStyle w:val="Hyperlink"/>
          </w:rPr>
          <w:t xml:space="preserve">Configurando um feed de dados de referência</w:t>
        </w:r>
      </w:hyperlink>
    </w:p>
    <w:bookmarkStart w:id="22" w:name="Sequênciadeimportaçãodefeeddedados"/>
    <w:p>
      <w:pPr>
        <w:pStyle w:val="Heading2"/>
      </w:pPr>
      <w:r>
        <w:t xml:space="preserve">Sequência de importação de feed de dados</w:t>
      </w:r>
    </w:p>
    <w:p>
      <w:pPr>
        <w:pStyle w:val="FirstParagraph"/>
      </w:pPr>
      <w:r>
        <w:t xml:space="preserve">Importe os feeds de dados na seguinte ordem:</w:t>
      </w:r>
    </w:p>
    <w:p>
      <w:pPr>
        <w:numPr>
          <w:ilvl w:val="0"/>
          <w:numId w:val="1004"/>
        </w:numPr>
      </w:pPr>
      <w:r>
        <w:t xml:space="preserve">CI&amp;BR_-_Generate_Incident_Response_Procedures_and_Tasks</w:t>
      </w:r>
    </w:p>
    <w:p>
      <w:pPr>
        <w:numPr>
          <w:ilvl w:val="0"/>
          <w:numId w:val="1004"/>
        </w:numPr>
      </w:pPr>
      <w:r>
        <w:t xml:space="preserve">CI&amp;BR_-_Not_Applicable_Incident_Response_Procedures_and_Tasks</w:t>
      </w:r>
    </w:p>
    <w:p>
      <w:pPr>
        <w:numPr>
          <w:ilvl w:val="0"/>
          <w:numId w:val="1004"/>
        </w:numPr>
      </w:pPr>
      <w:r>
        <w:t xml:space="preserve">CI&amp;BR_-_Generate_Breach_Tasks</w:t>
      </w:r>
    </w:p>
    <w:p>
      <w:pPr>
        <w:numPr>
          <w:ilvl w:val="0"/>
          <w:numId w:val="1004"/>
        </w:numPr>
      </w:pPr>
      <w:r>
        <w:t xml:space="preserve">CI&amp;BR_-_Not_Applicable_Breach_Tasks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Você deve instalar todos os arquivos de pacote antes de importar feeds de dados. Para obter mais informações, consulte</w:t>
      </w:r>
      <w:r>
        <w:t xml:space="preserve"> </w:t>
      </w:r>
      <w:hyperlink r:id="rId21">
        <w:r>
          <w:rPr>
            <w:rStyle w:val="Hyperlink"/>
          </w:rPr>
          <w:t xml:space="preserve">Instalando os pacotes</w:t>
        </w:r>
      </w:hyperlink>
      <w:r>
        <w:t xml:space="preserve">.</w:t>
      </w:r>
    </w:p>
    <w:bookmarkEnd w:id="22"/>
    <w:bookmarkStart w:id="30" w:name="Tarefa1Configurarfeeddedados"/>
    <w:p>
      <w:pPr>
        <w:pStyle w:val="Heading2"/>
      </w:pPr>
      <w:r>
        <w:t xml:space="preserve">Tarefa 1: Configurar feed de dados</w:t>
      </w:r>
    </w:p>
    <w:p>
      <w:pPr>
        <w:numPr>
          <w:ilvl w:val="0"/>
          <w:numId w:val="1005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7e497c8d3e71bc4ca15959ef3978436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Integração &gt; Feeds de dados.</w:t>
      </w:r>
    </w:p>
    <w:p>
      <w:pPr>
        <w:numPr>
          <w:ilvl w:val="0"/>
          <w:numId w:val="1005"/>
        </w:numPr>
      </w:pPr>
      <w:r>
        <w:t xml:space="preserve">Se você não instalou os feeds de dados por meio do pacote, importe-os na ordem acima.</w:t>
      </w:r>
    </w:p>
    <w:p>
      <w:pPr>
        <w:pStyle w:val="Compact"/>
        <w:numPr>
          <w:ilvl w:val="1"/>
          <w:numId w:val="1006"/>
        </w:numPr>
      </w:pPr>
      <w:r>
        <w:t xml:space="preserve">Na página de listagem do feed de dados, clique em</w:t>
      </w:r>
      <w:r>
        <w:t xml:space="preserve"> </w:t>
      </w:r>
      <w:r>
        <w:drawing>
          <wp:inline>
            <wp:extent cx="250256" cy="240631"/>
            <wp:effectExtent b="0" l="0" r="0" t="0"/>
            <wp:docPr descr="Fazer download do pacote" title="Fazer download do pacote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8aa41d64f4c72a39d1920480414f314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6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Localize e selecione o arquivo .dfx5 do feed de dados.</w:t>
      </w:r>
    </w:p>
    <w:p>
      <w:pPr>
        <w:pStyle w:val="Compact"/>
        <w:numPr>
          <w:ilvl w:val="0"/>
          <w:numId w:val="1005"/>
        </w:numPr>
      </w:pPr>
      <w:r>
        <w:t xml:space="preserve">Selecione o feed de dados que deseja configurar.</w:t>
      </w:r>
    </w:p>
    <w:p>
      <w:pPr>
        <w:numPr>
          <w:ilvl w:val="0"/>
          <w:numId w:val="1005"/>
        </w:numPr>
      </w:pPr>
      <w:r>
        <w:t xml:space="preserve">Na seção Informações gerais da guia Geral, selecione Ativo.</w:t>
      </w:r>
    </w:p>
    <w:p>
      <w:pPr>
        <w:numPr>
          <w:ilvl w:val="0"/>
          <w:numId w:val="1005"/>
        </w:numPr>
      </w:pPr>
      <w:r>
        <w:t xml:space="preserve">Na guia Conexão de origem, siga o conjunto de etapas abaixo com base no tipo de transporte.</w:t>
      </w:r>
    </w:p>
    <w:bookmarkStart w:id="29" w:name="TipodetransportedoArcherWebServices"/>
    <w:p>
      <w:pPr>
        <w:pStyle w:val="Heading3"/>
      </w:pPr>
      <w:r>
        <w:t xml:space="preserve">Tipo de transporte do Archer Web Services</w:t>
      </w:r>
    </w:p>
    <w:p>
      <w:pPr>
        <w:pStyle w:val="Compact"/>
        <w:numPr>
          <w:ilvl w:val="0"/>
          <w:numId w:val="1007"/>
        </w:numPr>
      </w:pPr>
      <w:r>
        <w:t xml:space="preserve">Na seção Propriedades de log-on, faça o seguinte:</w:t>
      </w:r>
    </w:p>
    <w:p>
      <w:pPr>
        <w:pStyle w:val="Compact"/>
        <w:numPr>
          <w:ilvl w:val="1"/>
          <w:numId w:val="1008"/>
        </w:numPr>
      </w:pPr>
      <w:r>
        <w:t xml:space="preserve">No campo URL, digite seu URL. Seu URL depende se você está usando uma instalação local e onde instalou o Archer ou se está em SaaS:</w:t>
      </w:r>
    </w:p>
    <w:p>
      <w:pPr>
        <w:numPr>
          <w:ilvl w:val="2"/>
          <w:numId w:val="1009"/>
        </w:numPr>
      </w:pPr>
      <w:r>
        <w:t xml:space="preserve">Se você estiver localmente e tiver instalado o Archer no nível raiz do Microsoft Internet Information Services (IIS), seu URL deverá ser:</w:t>
      </w:r>
      <w:r>
        <w:t xml:space="preserve"> </w:t>
      </w:r>
      <w:r>
        <w:rPr>
          <w:i/>
          <w:iCs/>
        </w:rPr>
        <w:t xml:space="preserve">NomeDoServidor</w:t>
      </w:r>
    </w:p>
    <w:p>
      <w:pPr>
        <w:numPr>
          <w:ilvl w:val="2"/>
          <w:numId w:val="1000"/>
        </w:numPr>
      </w:pPr>
      <w:r>
        <w:t xml:space="preserve">Por exemplo, http://grc.mycompany.com</w:t>
      </w:r>
    </w:p>
    <w:p>
      <w:pPr>
        <w:numPr>
          <w:ilvl w:val="2"/>
          <w:numId w:val="1009"/>
        </w:numPr>
      </w:pPr>
      <w:r>
        <w:t xml:space="preserve">Se você estiver localmente e tiver instalado o Archer como uma sub-rede no Microsoft Internet Information Services (IIS), seu URL deverá ser:</w:t>
      </w:r>
      <w:r>
        <w:t xml:space="preserve"> </w:t>
      </w:r>
      <w:r>
        <w:rPr>
          <w:i/>
          <w:iCs/>
        </w:rPr>
        <w:t xml:space="preserve">NomeDoServidor</w:t>
      </w:r>
      <w:r>
        <w:t xml:space="preserve">/</w:t>
      </w:r>
      <w:r>
        <w:rPr>
          <w:i/>
          <w:iCs/>
        </w:rPr>
        <w:t xml:space="preserve">NomeDoDiretórioVirtual</w:t>
      </w:r>
    </w:p>
    <w:p>
      <w:pPr>
        <w:numPr>
          <w:ilvl w:val="2"/>
          <w:numId w:val="1000"/>
        </w:numPr>
      </w:pPr>
      <w:r>
        <w:t xml:space="preserve">Por exemplo, http://grc.mycompany.com/Archer</w:t>
      </w:r>
    </w:p>
    <w:p>
      <w:pPr>
        <w:numPr>
          <w:ilvl w:val="2"/>
          <w:numId w:val="1009"/>
        </w:numPr>
      </w:pPr>
      <w:r>
        <w:t xml:space="preserve">Se você estiver usando SaaS, seu URL deverá ser:</w:t>
      </w:r>
      <w:r>
        <w:t xml:space="preserve"> </w:t>
      </w:r>
      <w:r>
        <w:rPr>
          <w:i/>
          <w:iCs/>
        </w:rPr>
        <w:t xml:space="preserve">SeuURLSaaS</w:t>
      </w:r>
      <w:r>
        <w:t xml:space="preserve">/archerirm.</w:t>
      </w:r>
      <w:r>
        <w:rPr>
          <w:i/>
          <w:iCs/>
        </w:rPr>
        <w:t xml:space="preserve">região</w:t>
      </w:r>
    </w:p>
    <w:p>
      <w:pPr>
        <w:numPr>
          <w:ilvl w:val="2"/>
          <w:numId w:val="1000"/>
        </w:numPr>
      </w:pPr>
      <w:r>
        <w:t xml:space="preserve">Por exemplo, http://mycompany.archerirm.us</w:t>
      </w:r>
    </w:p>
    <w:p>
      <w:pPr>
        <w:numPr>
          <w:ilvl w:val="1"/>
          <w:numId w:val="1008"/>
        </w:numPr>
      </w:pPr>
      <w:r>
        <w:t xml:space="preserve">Especifique se a instância do</w:t>
      </w:r>
      <w:r>
        <w:t xml:space="preserve"> </w:t>
      </w:r>
      <w:r>
        <w:t xml:space="preserve">Archer</w:t>
      </w:r>
      <w:r>
        <w:t xml:space="preserve"> </w:t>
      </w:r>
      <w:r>
        <w:t xml:space="preserve">usa autenticação anônima ou Autenticação do Windows.</w:t>
      </w:r>
    </w:p>
    <w:p>
      <w:pPr>
        <w:pStyle w:val="Compact"/>
        <w:numPr>
          <w:ilvl w:val="1"/>
          <w:numId w:val="1008"/>
        </w:numPr>
      </w:pPr>
      <w:r>
        <w:t xml:space="preserve">Nos campos Nome de usuário e Senha, insira as credenciais de um usuário da plataforma com acesso a APIs e a todos os registros na instância da plataforma (da qual o feed de dados se origina).</w:t>
      </w:r>
    </w:p>
    <w:p>
      <w:pPr>
        <w:pStyle w:val="Compact"/>
        <w:numPr>
          <w:ilvl w:val="0"/>
          <w:numId w:val="1007"/>
        </w:numPr>
      </w:pPr>
      <w:r>
        <w:t xml:space="preserve">Na seção Configuração de transporte, faça o seguinte:</w:t>
      </w:r>
    </w:p>
    <w:p>
      <w:pPr>
        <w:pStyle w:val="Compact"/>
        <w:numPr>
          <w:ilvl w:val="1"/>
          <w:numId w:val="1010"/>
        </w:numPr>
      </w:pPr>
      <w:r>
        <w:t xml:space="preserve">Selecione um tipo de pesquisa e siga um destes procedimentos:</w:t>
      </w:r>
    </w:p>
    <w:p>
      <w:pPr>
        <w:numPr>
          <w:ilvl w:val="2"/>
          <w:numId w:val="1011"/>
        </w:numPr>
      </w:pPr>
      <w:r>
        <w:t xml:space="preserve">Digite as credenciais da conta que executa o relatório. Os resultados do relatório serão baseados nas permissões dessa conta.</w:t>
      </w:r>
    </w:p>
    <w:p>
      <w:pPr>
        <w:numPr>
          <w:ilvl w:val="2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conta pode ser um administrador de conteúdo com permissões de acesso total ao conteúdo dos aplicativos. Não utilize a mesma conta que você usou para fazer log-on.</w:t>
      </w:r>
    </w:p>
    <w:p>
      <w:pPr>
        <w:pStyle w:val="Compact"/>
        <w:numPr>
          <w:ilvl w:val="2"/>
          <w:numId w:val="1011"/>
        </w:numPr>
      </w:pPr>
      <w:r>
        <w:t xml:space="preserve">Selecione Usar Autenticação do Windows. O logon único deve ser configurado na instância de origem para usar esta opção.</w:t>
      </w:r>
    </w:p>
    <w:p>
      <w:pPr>
        <w:pStyle w:val="Compact"/>
        <w:numPr>
          <w:ilvl w:val="1"/>
          <w:numId w:val="1010"/>
        </w:numPr>
      </w:pPr>
      <w:r>
        <w:t xml:space="preserve">No campo Instância, insira o nome da instância que deu origem ao feed de dados (é o mesmo nome de instância informado na janela Log-in).</w:t>
      </w:r>
    </w:p>
    <w:p>
      <w:pPr>
        <w:numPr>
          <w:ilvl w:val="0"/>
          <w:numId w:val="1007"/>
        </w:numPr>
      </w:pPr>
      <w:r>
        <w:t xml:space="preserve">Clique na guia Mapa de dados e depois clique nas guias Mapa de campo e Definições de campo-chave.</w:t>
      </w:r>
    </w:p>
    <w:p>
      <w:pPr>
        <w:numPr>
          <w:ilvl w:val="0"/>
          <w:numId w:val="1000"/>
        </w:numPr>
      </w:pPr>
      <w:r>
        <w:t xml:space="preserve">O feed de dados pode ser associado a objetos e campos-chave em aplicativos que não estão licenciados. O clique nas guias Mapa de campo e Definições de campo-chave permite que o sistema resolva esses mapeamentos.</w:t>
      </w:r>
    </w:p>
    <w:p>
      <w:pPr>
        <w:numPr>
          <w:ilvl w:val="0"/>
          <w:numId w:val="1007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2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2"/>
        </w:numPr>
      </w:pPr>
      <w:r>
        <w:t xml:space="preserve">Para terminar de configurar o feed mais tarde, clique em Salvar ou Salvar e fechar.</w:t>
      </w:r>
    </w:p>
    <w:bookmarkEnd w:id="29"/>
    <w:bookmarkEnd w:id="30"/>
    <w:bookmarkStart w:id="34" w:name="Tarefa2Agendarfeedsdedados"/>
    <w:p>
      <w:pPr>
        <w:pStyle w:val="Heading2"/>
      </w:pPr>
      <w:r>
        <w:t xml:space="preserve">Tarefa 2: Agendar feeds de dados</w:t>
      </w:r>
    </w:p>
    <w:p>
      <w:pPr>
        <w:pStyle w:val="FirstParagraph"/>
      </w:pPr>
      <w:r>
        <w:t xml:space="preserve">Um feed de dados deve estar ativo e válido para que sua execução tenha êxito. Uma execução de feed de dados bem-sucedida processa todos os dados de entrada, conclui todas as atualizações de registro esperadas e não relata nenhuma falha no relatório Detalhes da execução.</w:t>
      </w:r>
    </w:p>
    <w:bookmarkStart w:id="31" w:name="Validandoumfeeddedados"/>
    <w:p>
      <w:pPr>
        <w:pStyle w:val="Heading3"/>
      </w:pPr>
      <w:r>
        <w:t xml:space="preserve">Validando um feed de dados</w:t>
      </w:r>
    </w:p>
    <w:p>
      <w:pPr>
        <w:pStyle w:val="FirstParagraph"/>
      </w:pPr>
      <w:r>
        <w:t xml:space="preserve">O Gerenciador do feed de dados valida as informações quando um feed de dados é agendado. Se houver informações inválidas, o feed de dados exibirá uma mensagem de erro. Você pode salvar o feed de dados e corrigir os erros depois, mas o feed de dados não será processado até você fazer as correções.</w:t>
      </w:r>
    </w:p>
    <w:bookmarkEnd w:id="31"/>
    <w:bookmarkStart w:id="32" w:name="Executandoumfeeddedados"/>
    <w:p>
      <w:pPr>
        <w:pStyle w:val="Heading3"/>
      </w:pPr>
      <w:r>
        <w:t xml:space="preserve">Executando um feed de dados</w:t>
      </w:r>
    </w:p>
    <w:p>
      <w:pPr>
        <w:pStyle w:val="FirstParagraph"/>
      </w:pPr>
      <w:r>
        <w:t xml:space="preserve">Você pode configurar feeds de dados para serem executados automaticamente em intervalos regulares. Essa opção reduz o tempo e esforço necessários para importar dados de um arquivo externo.</w:t>
      </w:r>
    </w:p>
    <w:p>
      <w:pPr>
        <w:pStyle w:val="BodyText"/>
      </w:pPr>
      <w:r>
        <w:t xml:space="preserve">Você pode iniciar feeds de dados em vários momentos e configurá-los para execução em incrementos regulares por um período indefinido.</w:t>
      </w:r>
    </w:p>
    <w:p>
      <w:pPr>
        <w:pStyle w:val="BodyText"/>
      </w:pPr>
      <w:r>
        <w:t xml:space="preserve">Você pode executar o feed de dados imediatamente.</w:t>
      </w:r>
    </w:p>
    <w:p>
      <w:pPr>
        <w:pStyle w:val="BodyText"/>
      </w:pPr>
      <w:r>
        <w:t xml:space="preserve">Para impedir que o servidor seja sobrecarregado, programe os feeds de dados de forma escalonada. A Archer recomenda agendar no máximo 10 feeds de dados para execução por vez.</w:t>
      </w:r>
    </w:p>
    <w:bookmarkEnd w:id="32"/>
    <w:bookmarkStart w:id="33" w:name="Configurandoumfeeddedadosdereferência"/>
    <w:p>
      <w:pPr>
        <w:pStyle w:val="Heading3"/>
      </w:pPr>
      <w:r>
        <w:t xml:space="preserve">Configurando um feed de dados de referência</w:t>
      </w:r>
    </w:p>
    <w:p>
      <w:pPr>
        <w:pStyle w:val="FirstParagraph"/>
      </w:pPr>
      <w:r>
        <w:t xml:space="preserve">Um feed de referência permite que você especifique outro feed. Isso indica ao Serviço de feed de dados que esse feed começará a ser executado assim que o feed de referência for concluído com sucesso.</w:t>
      </w:r>
    </w:p>
    <w:p>
      <w:pPr>
        <w:numPr>
          <w:ilvl w:val="0"/>
          <w:numId w:val="1013"/>
        </w:numPr>
      </w:pPr>
      <w:r>
        <w:t xml:space="preserve">Vá para a guia Executar a configuração &gt; seção Agendamento.</w:t>
      </w:r>
    </w:p>
    <w:p>
      <w:pPr>
        <w:numPr>
          <w:ilvl w:val="0"/>
          <w:numId w:val="1013"/>
        </w:numPr>
      </w:pPr>
      <w:r>
        <w:t xml:space="preserve">Siga um destes procedimentos para agendar seu feed de dados.</w:t>
      </w:r>
    </w:p>
    <w:p>
      <w:pPr>
        <w:numPr>
          <w:ilvl w:val="1"/>
          <w:numId w:val="1014"/>
        </w:numPr>
      </w:pPr>
      <w:r>
        <w:t xml:space="preserve">Execute dentro do programado. Você pode configurar o feed de dados para ser executado em uma programação definida.</w:t>
      </w:r>
    </w:p>
    <w:p>
      <w:pPr>
        <w:numPr>
          <w:ilvl w:val="1"/>
          <w:numId w:val="1014"/>
        </w:numPr>
      </w:pPr>
      <w:r>
        <w:t xml:space="preserve">Execute depois. Os serviços de feed de dados iniciam o feed de dados atual depois que o feed de dados referenciado é concluído com sucesso.</w:t>
      </w:r>
    </w:p>
    <w:p>
      <w:pPr>
        <w:numPr>
          <w:ilvl w:val="1"/>
          <w:numId w:val="1014"/>
        </w:numPr>
      </w:pPr>
      <w:r>
        <w:t xml:space="preserve">Execute agora.</w:t>
      </w:r>
    </w:p>
    <w:p>
      <w:pPr>
        <w:numPr>
          <w:ilvl w:val="0"/>
          <w:numId w:val="1013"/>
        </w:numPr>
      </w:pPr>
      <w:r>
        <w:t xml:space="preserve">Para salvar o feed de dados, clique em Salvar ou Salvar e fechar.</w:t>
      </w:r>
    </w:p>
    <w:bookmarkEnd w:id="33"/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21" Target="itsrm_cibr_package_install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tsrm_cibr_package_install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2025-03-06T14:49:52Z</dcterms:created>
  <dcterms:modified xsi:type="dcterms:W3CDTF">2025-03-06T14:49:52Z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