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aabaf05f6c6efa91070f05f39f1b6ff60efb2e4"/>
    <w:p>
      <w:pPr>
        <w:pStyle w:val="Heading1"/>
      </w:pPr>
      <w:r>
        <w:t xml:space="preserve">Policy Program Management 2024.03 Release Notes</w:t>
      </w:r>
    </w:p>
    <w:p>
      <w:pPr>
        <w:numPr>
          <w:ilvl w:val="0"/>
          <w:numId w:val="1001"/>
        </w:numPr>
      </w:pPr>
      <w:r>
        <w:t xml:space="preserve">The use case has been repackaged due to minor updates from Archer Insight. There are no material changes to functionality.</w:t>
      </w:r>
    </w:p>
    <w:p>
      <w:pPr>
        <w:numPr>
          <w:ilvl w:val="0"/>
          <w:numId w:val="1001"/>
        </w:numPr>
      </w:pPr>
      <w:r>
        <w:t xml:space="preserve">In the documentation, references to the Risks application (formerly Risk Register) have been updated.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2025-03-06T14:50:04Z</dcterms:created>
  <dcterms:modified xsi:type="dcterms:W3CDTF">2025-03-06T14:50:04Z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