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Xfe5964de1fe50c1fd9318ff61a44dd46661eac5"/>
    <w:p>
      <w:pPr>
        <w:pStyle w:val="Heading1"/>
      </w:pPr>
      <w:bookmarkStart w:id="20" w:name="aanchor0"/>
      <w:bookmarkEnd w:id="20"/>
      <w:r>
        <w:t xml:space="preserve"> </w:t>
      </w:r>
      <w:r>
        <w:t xml:space="preserve">Design de caso de uso de gerenciamento de obrigações corporativas</w:t>
      </w:r>
    </w:p>
    <w:p>
      <w:pPr>
        <w:pStyle w:val="FirstParagraph"/>
      </w:pPr>
      <w:r>
        <w:t xml:space="preserve">Este tópico explica o design de caso de uso de Gerenciamento de obrigações corporativas.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iagramasdearquitetura">
        <w:r>
          <w:rPr>
            <w:rStyle w:val="Hyperlink"/>
          </w:rPr>
          <w:t xml:space="preserve">Diagramas de arquitetura</w:t>
        </w:r>
      </w:hyperlink>
    </w:p>
    <w:p>
      <w:pPr>
        <w:pStyle w:val="Compact"/>
        <w:numPr>
          <w:ilvl w:val="0"/>
          <w:numId w:val="1001"/>
        </w:numPr>
      </w:pPr>
      <w:hyperlink w:anchor="Aplicativos">
        <w:r>
          <w:rPr>
            <w:rStyle w:val="Hyperlink"/>
          </w:rPr>
          <w:t xml:space="preserve">Aplicativos</w:t>
        </w:r>
      </w:hyperlink>
    </w:p>
    <w:p>
      <w:pPr>
        <w:pStyle w:val="Compact"/>
        <w:numPr>
          <w:ilvl w:val="0"/>
          <w:numId w:val="1001"/>
        </w:numPr>
      </w:pPr>
      <w:hyperlink w:anchor="Xa9bdac9233b6c432b99b795538546de4bb4a338">
        <w:r>
          <w:rPr>
            <w:rStyle w:val="Hyperlink"/>
          </w:rPr>
          <w:t xml:space="preserve">Funções de acesso e permissões de registro</w:t>
        </w:r>
      </w:hyperlink>
    </w:p>
    <w:p>
      <w:pPr>
        <w:pStyle w:val="Compact"/>
        <w:numPr>
          <w:ilvl w:val="0"/>
          <w:numId w:val="1001"/>
        </w:numPr>
      </w:pPr>
      <w:hyperlink w:anchor="Pain%C3%A9isdecontrole">
        <w:r>
          <w:rPr>
            <w:rStyle w:val="Hyperlink"/>
          </w:rPr>
          <w:t xml:space="preserve">Painéis de controle</w:t>
        </w:r>
      </w:hyperlink>
    </w:p>
    <w:p>
      <w:pPr>
        <w:pStyle w:val="Compact"/>
        <w:numPr>
          <w:ilvl w:val="0"/>
          <w:numId w:val="1001"/>
        </w:numPr>
      </w:pPr>
      <w:hyperlink w:anchor="Feedsdedados">
        <w:r>
          <w:rPr>
            <w:rStyle w:val="Hyperlink"/>
          </w:rPr>
          <w:t xml:space="preserve">Feeds de dados</w:t>
        </w:r>
      </w:hyperlink>
    </w:p>
    <w:bookmarkStart w:id="24" w:name="Diagramasdearquitetura"/>
    <w:p>
      <w:pPr>
        <w:pStyle w:val="Heading2"/>
      </w:pPr>
      <w:r>
        <w:t xml:space="preserve">Diagramas de arquitetura</w:t>
      </w:r>
    </w:p>
    <w:p>
      <w:pPr>
        <w:pStyle w:val="FirstParagraph"/>
      </w:pPr>
      <w:r>
        <w:t xml:space="preserve">O diagrama a seguir mostra as relações entre os aplicativos no caso de uso Gerenciamento de obrigações corporativas.</w:t>
      </w:r>
    </w:p>
    <w:p>
      <w:pPr>
        <w:pStyle w:val="BodyText"/>
      </w:pPr>
      <w:r>
        <w:drawing>
          <wp:inline>
            <wp:extent cx="4524375" cy="2181225"/>
            <wp:effectExtent b="0" l="0" r="0" t="0"/>
            <wp:docPr descr="Arquitetura do caso de uso Gerenciamento de obrigações corporativas" title="Caso de uso Gerenciamento de obrigações corporativas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3f7a6a823591b17e63cf025085692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Aplicativos"/>
    <w:p>
      <w:pPr>
        <w:pStyle w:val="Heading2"/>
      </w:pPr>
      <w:r>
        <w:t xml:space="preserve">Aplicativos</w:t>
      </w:r>
    </w:p>
    <w:p>
      <w:pPr>
        <w:pStyle w:val="TableCaption"/>
      </w:pPr>
      <w:r>
        <w:t xml:space="preserve">A tabela a seguir descreve os aplicativos de casos de uso.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aplicativos de casos de us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Aplicativo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/>
          <w:p>
            <w:pPr>
              <w:pStyle w:val="BodyText"/>
            </w:pPr>
            <w:r>
              <w:t xml:space="preserve">O aplicativo Itens de inteligência normativa armazena os dados de diversos feeds normativos. Além disso, os itens de inteligência normativa podem ser adicionados manualmente pelo usuário. O aplicativo Itens de inteligência normativa armazena um resumo do problema e um link para um site externo.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Revisão da inteligência normativa</w:t>
            </w:r>
          </w:p>
        </w:tc>
        <w:tc>
          <w:tcPr/>
          <w:p>
            <w:pPr>
              <w:pStyle w:val="BodyText"/>
            </w:pPr>
            <w:r>
              <w:t xml:space="preserve">O aplicativo Inteligência normativa oferece um workflow da análise e da revisão dos itens de inteligência normativa. O aplicativo permite documentar os ativos de negócios afetados e o conteúdo de política/conformidade na seção Análise de impacto. Ele também captura a análise da revisão da inteligência normativa para fins de documentação.</w:t>
            </w:r>
          </w:p>
        </w:tc>
      </w:tr>
    </w:tbl>
    <w:bookmarkEnd w:id="25"/>
    <w:bookmarkStart w:id="26" w:name="Funçõesdeacessoepermissõesderegistro"/>
    <w:p>
      <w:pPr>
        <w:pStyle w:val="Heading2"/>
      </w:pPr>
      <w:r>
        <w:t xml:space="preserve">Funções de acesso e permissões de registro</w:t>
      </w:r>
    </w:p>
    <w:p>
      <w:pPr>
        <w:pStyle w:val="TableCaption"/>
      </w:pPr>
      <w:r>
        <w:t xml:space="preserve">A tabela a seguir descreve as funções de acesso de casos de uso.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funções de acesso de casos de us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Função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Leitor de inteligência normativa</w:t>
            </w:r>
          </w:p>
        </w:tc>
        <w:tc>
          <w:tcPr/>
          <w:p>
            <w:pPr>
              <w:pStyle w:val="BodyText"/>
            </w:pPr>
            <w:r>
              <w:t xml:space="preserve">Visualiza itens normativos e análises contínuas de inteligência normativa.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Analista da inteligência normativa</w:t>
            </w:r>
          </w:p>
        </w:tc>
        <w:tc>
          <w:tcPr/>
          <w:p>
            <w:pPr>
              <w:pStyle w:val="BodyText"/>
            </w:pPr>
            <w:r>
              <w:t xml:space="preserve">Analisa e cria itens normativos e análises de inteligência normativa.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conhecer os direitos de acesso detalhados no nível da página, consulte o</w:t>
      </w:r>
      <w:r>
        <w:t xml:space="preserve"> </w:t>
      </w:r>
      <w:r>
        <w:rPr>
          <w:i/>
          <w:iCs/>
        </w:rPr>
        <w:t xml:space="preserve">Dicionário de dados</w:t>
      </w:r>
      <w:r>
        <w:t xml:space="preserve">.</w:t>
      </w:r>
    </w:p>
    <w:p>
      <w:pPr>
        <w:pStyle w:val="BodyText"/>
      </w:pPr>
      <w:r>
        <w:t xml:space="preserve">Para obter a lista completa dos campos de permissão de registro do aplicativo, inclusive quais campos de usuários/grupos preenchem os campos e de onde os campos herdam as permissões, consulte o</w:t>
      </w:r>
      <w:r>
        <w:t xml:space="preserve"> </w:t>
      </w:r>
      <w:r>
        <w:rPr>
          <w:i/>
          <w:iCs/>
        </w:rPr>
        <w:t xml:space="preserve">Dicionário de dados</w:t>
      </w:r>
      <w:r>
        <w:t xml:space="preserve">.</w:t>
      </w:r>
    </w:p>
    <w:bookmarkEnd w:id="26"/>
    <w:bookmarkStart w:id="27" w:name="Painéisdecontrole"/>
    <w:p>
      <w:pPr>
        <w:pStyle w:val="Heading2"/>
      </w:pPr>
      <w:r>
        <w:t xml:space="preserve">Painéis de controle</w:t>
      </w:r>
    </w:p>
    <w:p>
      <w:pPr>
        <w:pStyle w:val="TableCaption"/>
      </w:pPr>
      <w:r>
        <w:t xml:space="preserve">A tabela a seguir descreve o painel de controle do caso de uso.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inel de controle do caso de us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Painel de controle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Centro de análise de inteligência normativa</w:t>
            </w:r>
          </w:p>
        </w:tc>
        <w:tc>
          <w:tcPr/>
          <w:p>
            <w:pPr>
              <w:pStyle w:val="BodyText"/>
            </w:pPr>
            <w:r>
              <w:t xml:space="preserve">Este painel de controle fornece informações sobre itens normativos recebidos e análises de inteligência normativa em andamento.</w:t>
            </w:r>
          </w:p>
        </w:tc>
      </w:tr>
    </w:tbl>
    <w:bookmarkEnd w:id="27"/>
    <w:bookmarkStart w:id="30" w:name="Feedsdedados"/>
    <w:p>
      <w:pPr>
        <w:pStyle w:val="Heading2"/>
      </w:pPr>
      <w:r>
        <w:t xml:space="preserve">Feeds de dados</w:t>
      </w:r>
      <w:bookmarkStart w:id="28" w:name="DataFeeds"/>
      <w:bookmarkEnd w:id="28"/>
    </w:p>
    <w:p>
      <w:pPr>
        <w:pStyle w:val="FirstParagraph"/>
      </w:pPr>
      <w:r>
        <w:t xml:space="preserve">Para obter informações sobre o download e a configuração dos feeds de dados para esse caso de uso, consulte o</w:t>
      </w:r>
      <w:r>
        <w:t xml:space="preserve"> </w:t>
      </w:r>
      <w:hyperlink r:id="rId29">
        <w:r>
          <w:rPr>
            <w:rStyle w:val="Hyperlink"/>
          </w:rPr>
          <w:t xml:space="preserve">Archer Exchange</w:t>
        </w:r>
      </w:hyperlink>
      <w:r>
        <w:t xml:space="preserve">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9" Target="https://community.rsa.com/community/products/archer-grc/exchange/content?filterID=contentstatus%5Bpublished%5D~category%5Bintegration%5D&amp;query=data%20feed%20content%20integration&amp;sortKey=contentstatus%5Bpublished%5D~subjectAsc&amp;sortOrder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mmunity.rsa.com/community/products/archer-grc/exchange/content?filterID=contentstatus%5Bpublished%5D~category%5Bintegration%5D&amp;query=data%20feed%20content%20integration&amp;sortKey=contentstatus%5Bpublished%5D~subjectAsc&amp;sortOrder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2025-03-06T14:50:42Z</dcterms:created>
  <dcterms:modified xsi:type="dcterms:W3CDTF">2025-03-06T14:50:42Z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