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X6c0f6c921480dc8dfff7840fd6d55ca23928374"/>
    <w:p>
      <w:pPr>
        <w:pStyle w:val="Heading1"/>
      </w:pPr>
      <w:bookmarkStart w:id="20" w:name="aanchor3"/>
      <w:bookmarkEnd w:id="20"/>
      <w:r>
        <w:t xml:space="preserve"> </w:t>
      </w:r>
      <w:r>
        <w:t xml:space="preserve">Instalando o Gerenciamento de obrigações corporativas</w:t>
      </w:r>
    </w:p>
    <w:p>
      <w:pPr>
        <w:pStyle w:val="FirstParagraph"/>
      </w:pPr>
      <w:r>
        <w:t xml:space="preserve">Conclua as seguintes tarefas para instalar o caso de uso Gerenciamento de obrigações corporativas.</w:t>
      </w:r>
    </w:p>
    <w:p>
      <w:pPr>
        <w:pStyle w:val="BodyText"/>
      </w:pPr>
      <w:r>
        <w:t xml:space="preserve">Nesta página</w:t>
      </w:r>
    </w:p>
    <w:p>
      <w:pPr>
        <w:pStyle w:val="Compact"/>
        <w:numPr>
          <w:ilvl w:val="0"/>
          <w:numId w:val="1001"/>
        </w:numPr>
      </w:pPr>
      <w:hyperlink w:anchor="Tarefa1Prepararparainstala%C3%A7%C3%A3o">
        <w:r>
          <w:rPr>
            <w:rStyle w:val="Hyperlink"/>
          </w:rPr>
          <w:t xml:space="preserve">Tarefa 1: Preparar para instalação</w:t>
        </w:r>
      </w:hyperlink>
    </w:p>
    <w:p>
      <w:pPr>
        <w:pStyle w:val="Compact"/>
        <w:numPr>
          <w:ilvl w:val="0"/>
          <w:numId w:val="1001"/>
        </w:numPr>
      </w:pPr>
      <w:hyperlink w:anchor="Tarefa2Atualizarachavedelicen%C3%A7a">
        <w:r>
          <w:rPr>
            <w:rStyle w:val="Hyperlink"/>
          </w:rPr>
          <w:t xml:space="preserve">Tarefa 2: Atualizar a chave de licença</w:t>
        </w:r>
      </w:hyperlink>
    </w:p>
    <w:p>
      <w:pPr>
        <w:pStyle w:val="Compact"/>
        <w:numPr>
          <w:ilvl w:val="0"/>
          <w:numId w:val="1001"/>
        </w:numPr>
      </w:pPr>
      <w:hyperlink w:anchor="Tarefa3Instalaropacote">
        <w:r>
          <w:rPr>
            <w:rStyle w:val="Hyperlink"/>
          </w:rPr>
          <w:t xml:space="preserve">Tarefa 3: Instalar o pacote</w:t>
        </w:r>
      </w:hyperlink>
    </w:p>
    <w:p>
      <w:pPr>
        <w:pStyle w:val="Compact"/>
        <w:numPr>
          <w:ilvl w:val="0"/>
          <w:numId w:val="1001"/>
        </w:numPr>
      </w:pPr>
      <w:hyperlink w:anchor="X3079599b953e81e7de38681d5422bb8de51d08b">
        <w:r>
          <w:rPr>
            <w:rStyle w:val="Hyperlink"/>
          </w:rPr>
          <w:t xml:space="preserve">Tarefa 4: Executar a limpeza pós-instalação</w:t>
        </w:r>
      </w:hyperlink>
    </w:p>
    <w:p>
      <w:pPr>
        <w:pStyle w:val="Compact"/>
        <w:numPr>
          <w:ilvl w:val="0"/>
          <w:numId w:val="1001"/>
        </w:numPr>
      </w:pPr>
      <w:hyperlink w:anchor="X0708d8fa9f22992326f7bdf16232cf3453352b7">
        <w:r>
          <w:rPr>
            <w:rStyle w:val="Hyperlink"/>
          </w:rPr>
          <w:t xml:space="preserve">Tarefa 5: Resolver as dependências entre os pacotes</w:t>
        </w:r>
      </w:hyperlink>
    </w:p>
    <w:p>
      <w:pPr>
        <w:pStyle w:val="Compact"/>
        <w:numPr>
          <w:ilvl w:val="0"/>
          <w:numId w:val="1001"/>
        </w:numPr>
      </w:pPr>
      <w:hyperlink w:anchor="Xa8d66085069ed86bbaf772db03b5f06c1719440">
        <w:r>
          <w:rPr>
            <w:rStyle w:val="Hyperlink"/>
          </w:rPr>
          <w:t xml:space="preserve">Tarefa 6: Testar a instalação do caso de uso</w:t>
        </w:r>
      </w:hyperlink>
    </w:p>
    <w:bookmarkStart w:id="22" w:name="Tarefa1Prepararparainstalação"/>
    <w:p>
      <w:pPr>
        <w:pStyle w:val="Heading2"/>
      </w:pPr>
      <w:r>
        <w:t xml:space="preserve">Tarefa 1: Preparar para instalação</w:t>
      </w:r>
    </w:p>
    <w:p>
      <w:pPr>
        <w:pStyle w:val="Compact"/>
        <w:numPr>
          <w:ilvl w:val="0"/>
          <w:numId w:val="1002"/>
        </w:numPr>
      </w:pPr>
      <w:r>
        <w:t xml:space="preserve">Verifique se o sistema</w:t>
      </w:r>
      <w:r>
        <w:t xml:space="preserve"> </w:t>
      </w:r>
      <w:r>
        <w:t xml:space="preserve">Archer</w:t>
      </w:r>
      <w:r>
        <w:t xml:space="preserve"> </w:t>
      </w:r>
      <w:r>
        <w:t xml:space="preserve">atende aos seguintes requisitos:</w:t>
      </w:r>
    </w:p>
    <w:p>
      <w:pPr>
        <w:pStyle w:val="Compact"/>
        <w:numPr>
          <w:ilvl w:val="1"/>
          <w:numId w:val="1003"/>
        </w:numPr>
      </w:pPr>
      <w:r>
        <w:t xml:space="preserve">Plataforma</w:t>
      </w:r>
      <w:r>
        <w:t xml:space="preserve"> </w:t>
      </w:r>
      <w:r>
        <w:t xml:space="preserve">Archer</w:t>
      </w:r>
      <w:r>
        <w:t xml:space="preserve"> </w:t>
      </w:r>
      <w:r>
        <w:t xml:space="preserve">versão 6.6.</w:t>
      </w:r>
    </w:p>
    <w:p>
      <w:pPr>
        <w:pStyle w:val="Compact"/>
        <w:numPr>
          <w:ilvl w:val="1"/>
          <w:numId w:val="1003"/>
        </w:numPr>
      </w:pPr>
      <w:r>
        <w:t xml:space="preserve">Licença válida para o Gerenciamento de obrigações corporativas 6.6.</w:t>
      </w:r>
    </w:p>
    <w:p>
      <w:pPr>
        <w:pStyle w:val="Compact"/>
        <w:numPr>
          <w:ilvl w:val="1"/>
          <w:numId w:val="1003"/>
        </w:numPr>
      </w:pPr>
      <w:r>
        <w:t xml:space="preserve">Você já instalou os seguintes casos de uso: Gerenciamento de problemas e Gerenciamento do programa de políticas.</w:t>
      </w:r>
    </w:p>
    <w:p>
      <w:pPr>
        <w:pStyle w:val="Compact"/>
        <w:numPr>
          <w:ilvl w:val="1"/>
          <w:numId w:val="1003"/>
        </w:numPr>
      </w:pPr>
      <w:r>
        <w:t xml:space="preserve">Conta de usuário no</w:t>
      </w:r>
      <w:r>
        <w:t xml:space="preserve"> </w:t>
      </w:r>
      <w:r>
        <w:t xml:space="preserve">Archer Community</w:t>
      </w:r>
      <w:r>
        <w:t xml:space="preserve"> </w:t>
      </w:r>
      <w:r>
        <w:t xml:space="preserve">para fazer download dos arquivos de casos de uso.</w:t>
      </w:r>
    </w:p>
    <w:p>
      <w:pPr>
        <w:pStyle w:val="Compact"/>
        <w:numPr>
          <w:ilvl w:val="0"/>
          <w:numId w:val="1002"/>
        </w:numPr>
      </w:pPr>
      <w:r>
        <w:t xml:space="preserve">Faça download do arquivo de pacotes em a Comunidade de clientes/parceiros do Archer na</w:t>
      </w:r>
      <w:r>
        <w:t xml:space="preserve"> </w:t>
      </w:r>
      <w:r>
        <w:t xml:space="preserve">Archer Community</w:t>
      </w:r>
      <w:r>
        <w:t xml:space="preserve">.</w:t>
      </w:r>
    </w:p>
    <w:p>
      <w:pPr>
        <w:pStyle w:val="Compact"/>
        <w:numPr>
          <w:ilvl w:val="0"/>
          <w:numId w:val="1002"/>
        </w:numPr>
      </w:pPr>
      <w:r>
        <w:t xml:space="preserve">Obtenha o</w:t>
      </w:r>
      <w:r>
        <w:t xml:space="preserve"> </w:t>
      </w:r>
      <w:r>
        <w:rPr>
          <w:i/>
          <w:iCs/>
        </w:rPr>
        <w:t xml:space="preserve">Dicionário de dados</w:t>
      </w:r>
      <w:r>
        <w:t xml:space="preserve"> </w:t>
      </w:r>
      <w:r>
        <w:t xml:space="preserve">do caso de uso entrando em contato com o representante de contas do</w:t>
      </w:r>
      <w:r>
        <w:t xml:space="preserve"> </w:t>
      </w:r>
      <w:r>
        <w:t xml:space="preserve">Archer</w:t>
      </w:r>
      <w:r>
        <w:t xml:space="preserve">. O</w:t>
      </w:r>
      <w:r>
        <w:t xml:space="preserve"> </w:t>
      </w:r>
      <w:r>
        <w:rPr>
          <w:i/>
          <w:iCs/>
        </w:rPr>
        <w:t xml:space="preserve">Dicionário de dados</w:t>
      </w:r>
      <w:r>
        <w:t xml:space="preserve"> </w:t>
      </w:r>
      <w:r>
        <w:t xml:space="preserve">contém as informações de configuração do caso de uso.</w:t>
      </w:r>
    </w:p>
    <w:p>
      <w:pPr>
        <w:pStyle w:val="Compact"/>
        <w:numPr>
          <w:ilvl w:val="0"/>
          <w:numId w:val="1002"/>
        </w:numPr>
      </w:pPr>
      <w:r>
        <w:t xml:space="preserve">Leia e compreenda "Empacotando dados"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2Atualizarachavedelicença"/>
    <w:p>
      <w:pPr>
        <w:pStyle w:val="Heading2"/>
      </w:pPr>
      <w:r>
        <w:t xml:space="preserve">Tarefa 2: Atualizar a chave de licença</w:t>
      </w:r>
    </w:p>
    <w:p>
      <w:pPr>
        <w:pStyle w:val="FirstParagraph"/>
      </w:pPr>
      <w:r>
        <w:t xml:space="preserve">Você deverá atualizar a chave de licença se estiver instalando um novo aplicativo ou questionário, área de trabalho ou painel de controle.</w:t>
      </w:r>
    </w:p>
    <w:p>
      <w:pPr>
        <w:pStyle w:val="BodyText"/>
      </w:pPr>
      <w:r>
        <w:t xml:space="preserve">O administrador (do banco de dados ou Web) do servidor no qual está o Painel de controle do</w:t>
      </w:r>
      <w:r>
        <w:t xml:space="preserve"> </w:t>
      </w:r>
      <w:r>
        <w:t xml:space="preserve">Archer</w:t>
      </w:r>
      <w:r>
        <w:t xml:space="preserve"> </w:t>
      </w:r>
      <w:r>
        <w:t xml:space="preserve">deve atualizar a chave de licença no Painel de controle do</w:t>
      </w:r>
      <w:r>
        <w:t xml:space="preserve"> </w:t>
      </w:r>
      <w:r>
        <w:t xml:space="preserve">Archer</w:t>
      </w:r>
      <w:r>
        <w:t xml:space="preserve"> </w:t>
      </w:r>
      <w:r>
        <w:t xml:space="preserve">antes da importação do pacote de aplicativo para que os novos itens estejam disponíveis para uso.</w:t>
      </w:r>
    </w:p>
    <w:p>
      <w:pPr>
        <w:pStyle w:val="Compact"/>
        <w:numPr>
          <w:ilvl w:val="0"/>
          <w:numId w:val="1004"/>
        </w:numPr>
      </w:pPr>
      <w:r>
        <w:t xml:space="preserve">Abra o</w:t>
      </w:r>
      <w:r>
        <w:t xml:space="preserve"> </w:t>
      </w:r>
      <w:r>
        <w:t xml:space="preserve">Archer</w:t>
      </w:r>
      <w:r>
        <w:t xml:space="preserve"> </w:t>
      </w:r>
      <w:r>
        <w:t xml:space="preserve">Control Panel.</w:t>
      </w:r>
    </w:p>
    <w:p>
      <w:pPr>
        <w:pStyle w:val="Compact"/>
        <w:numPr>
          <w:ilvl w:val="0"/>
          <w:numId w:val="1004"/>
        </w:numPr>
      </w:pPr>
      <w:r>
        <w:t xml:space="preserve">Vá para Gerenciamento de instâncias, clique para expandir a lista Instâncias.</w:t>
      </w:r>
    </w:p>
    <w:p>
      <w:pPr>
        <w:pStyle w:val="Compact"/>
        <w:numPr>
          <w:ilvl w:val="0"/>
          <w:numId w:val="1004"/>
        </w:numPr>
      </w:pPr>
      <w:r>
        <w:t xml:space="preserve">Clique com o botão direito do mouse na instância que você deseja atualizar e clique em Atualizar chave de licença.</w:t>
      </w:r>
    </w:p>
    <w:p>
      <w:pPr>
        <w:pStyle w:val="Compact"/>
        <w:numPr>
          <w:ilvl w:val="0"/>
          <w:numId w:val="1004"/>
        </w:numPr>
      </w:pPr>
      <w:r>
        <w:t xml:space="preserve">Atualizar as informações aplicáveis​​: Número de série, informações e contato e método de ativação.</w:t>
      </w:r>
    </w:p>
    <w:p>
      <w:pPr>
        <w:pStyle w:val="Compact"/>
        <w:numPr>
          <w:ilvl w:val="0"/>
          <w:numId w:val="1004"/>
        </w:numPr>
      </w:pPr>
      <w:r>
        <w:t xml:space="preserve">Clique em Ativar.</w:t>
      </w:r>
    </w:p>
    <w:bookmarkEnd w:id="23"/>
    <w:bookmarkStart w:id="25" w:name="Tarefa3Instalaropacote"/>
    <w:p>
      <w:pPr>
        <w:pStyle w:val="Heading2"/>
      </w:pPr>
      <w:r>
        <w:t xml:space="preserve">Tarefa 3: Instalar o pacote</w:t>
      </w:r>
    </w:p>
    <w:p>
      <w:pPr>
        <w:pStyle w:val="FirstParagraph"/>
      </w:pPr>
      <w:r>
        <w:t xml:space="preserve">A instalação de um pacote exige a importação do arquivo do pacote, a associação dos objetos do pacote aos objetos na instância de destino e, em seguida, a instalação do pacote. Consulte</w:t>
      </w:r>
      <w:r>
        <w:t xml:space="preserve"> </w:t>
      </w:r>
      <w:hyperlink r:id="rId24"/>
      <w:hyperlink r:id="rId24">
        <w:r>
          <w:rPr>
            <w:rStyle w:val="Hyperlink"/>
          </w:rPr>
          <w:t xml:space="preserve">Instalando o pacote</w:t>
        </w:r>
      </w:hyperlink>
      <w:r>
        <w:t xml:space="preserve">.</w:t>
      </w:r>
    </w:p>
    <w:bookmarkEnd w:id="25"/>
    <w:bookmarkStart w:id="27" w:name="Tarefa4Executaralimpezapósinstalação"/>
    <w:p>
      <w:pPr>
        <w:pStyle w:val="Heading2"/>
      </w:pPr>
      <w:r>
        <w:t xml:space="preserve">Tarefa 4: Executar a limpeza pós-instalação</w:t>
      </w:r>
    </w:p>
    <w:p>
      <w:pPr>
        <w:pStyle w:val="FirstParagraph"/>
      </w:pPr>
      <w:r>
        <w:t xml:space="preserve">A instalação do pacote não atualiza alguns atributos dos objetos nem exclui objetos obsoletos que não fazem parte da solução atual. Compare os objetos do banco de dados com as informações do</w:t>
      </w:r>
      <w:r>
        <w:t xml:space="preserve"> </w:t>
      </w:r>
      <w:r>
        <w:rPr>
          <w:i/>
          <w:iCs/>
        </w:rPr>
        <w:t xml:space="preserve">Dicionário de dados</w:t>
      </w:r>
      <w:r>
        <w:t xml:space="preserve">, a fim de determinar quais objetos estão obsoletos ou foram atualizados. Para mais informações, consulte</w:t>
      </w:r>
      <w:r>
        <w:t xml:space="preserve"> </w:t>
      </w:r>
      <w:hyperlink r:id="rId26">
        <w:r>
          <w:rPr>
            <w:rStyle w:val="Hyperlink"/>
          </w:rPr>
          <w:t xml:space="preserve">Executando limpeza pós-instalação do caso de uso</w:t>
        </w:r>
      </w:hyperlink>
      <w:r>
        <w:t xml:space="preserve">.</w:t>
      </w:r>
    </w:p>
    <w:bookmarkEnd w:id="27"/>
    <w:bookmarkStart w:id="28" w:name="Xd4c35515cf6142d3c2a312d6a3e1eca97bbbc66"/>
    <w:p>
      <w:pPr>
        <w:pStyle w:val="Heading2"/>
      </w:pPr>
      <w:r>
        <w:t xml:space="preserve">Tarefa 5: Resolver as dependências entre os pacotes</w:t>
      </w:r>
    </w:p>
    <w:p>
      <w:pPr>
        <w:pStyle w:val="FirstParagraph"/>
      </w:pPr>
      <w:r>
        <w:t xml:space="preserve">Depois de concluir a instalação inicial, você deve instalar novamente o pacote do caso de uso, bem como todos os pacotes de casos de uso aplicáveis de pré-requisito, para resolver quaisquer dependências.</w:t>
      </w:r>
    </w:p>
    <w:p>
      <w:pPr>
        <w:pStyle w:val="Compact"/>
        <w:numPr>
          <w:ilvl w:val="0"/>
          <w:numId w:val="1005"/>
        </w:numPr>
      </w:pPr>
      <w:r>
        <w:t xml:space="preserve">Instale o arquivo do pacote do Gerenciamento de problemas.</w:t>
      </w:r>
    </w:p>
    <w:p>
      <w:pPr>
        <w:pStyle w:val="Compact"/>
        <w:numPr>
          <w:ilvl w:val="0"/>
          <w:numId w:val="1005"/>
        </w:numPr>
      </w:pPr>
      <w:r>
        <w:t xml:space="preserve">Instale o arquivo de pacote do Gerenciamento do programa de políticas.</w:t>
      </w:r>
    </w:p>
    <w:p>
      <w:pPr>
        <w:pStyle w:val="Compact"/>
        <w:numPr>
          <w:ilvl w:val="0"/>
          <w:numId w:val="1005"/>
        </w:numPr>
      </w:pPr>
      <w:hyperlink r:id="rId24">
        <w:r>
          <w:rPr>
            <w:rStyle w:val="Hyperlink"/>
          </w:rPr>
          <w:t xml:space="preserve">Instalar o arquivo de pacote do Gerenciamento de obrigações corporativas</w:t>
        </w:r>
      </w:hyperlink>
      <w:r>
        <w:t xml:space="preserve">.</w:t>
      </w:r>
    </w:p>
    <w:bookmarkEnd w:id="28"/>
    <w:bookmarkStart w:id="29" w:name="Tarefa6Testarainstalaçãodocasodeuso"/>
    <w:p>
      <w:pPr>
        <w:pStyle w:val="Heading2"/>
      </w:pPr>
      <w:r>
        <w:t xml:space="preserve">Tarefa 6: Testar a instalação do caso de uso</w:t>
      </w:r>
    </w:p>
    <w:p>
      <w:pPr>
        <w:pStyle w:val="FirstParagraph"/>
      </w:pPr>
      <w:r>
        <w:t xml:space="preserve">Teste o caso de uso de acordo com os padrões e os procedimentos da sua empresa, a fim de garantir que ele funcione com os processos existentes.</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uc_post_install_cleanup.htm" TargetMode="External" /><Relationship Type="http://schemas.openxmlformats.org/officeDocument/2006/relationships/hyperlink" Id="rId21" Target="https://help.archerirm.cloud/archer_suite_help/Default.htm" TargetMode="External" /><Relationship Type="http://schemas.openxmlformats.org/officeDocument/2006/relationships/hyperlink" Id="rId24" Target="rccm_obligs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6" Target="../uc_post_install_cleanup.htm" TargetMode="External" /><Relationship Type="http://schemas.openxmlformats.org/officeDocument/2006/relationships/hyperlink" Id="rId21" Target="https://help.archerirm.cloud/archer_suite_help/Default.htm" TargetMode="External" /><Relationship Type="http://schemas.openxmlformats.org/officeDocument/2006/relationships/hyperlink" Id="rId24" Target="rccm_obligs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2025-03-06T14:50:48Z</dcterms:created>
  <dcterms:modified xsi:type="dcterms:W3CDTF">2025-03-06T14:50:48Z</dcterms:modified>
</cp:coreProperties>
</file>

<file path=docProps/custom.xml><?xml version="1.0" encoding="utf-8"?>
<Properties xmlns="http://schemas.openxmlformats.org/officeDocument/2006/custom-properties" xmlns:vt="http://schemas.openxmlformats.org/officeDocument/2006/docPropsVTypes"/>
</file>