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mc-main-content"/>
    <w:bookmarkStart w:id="31" w:name="Xd567e95a224171b6d7730fb1cd8f3e85f5a005d"/>
    <w:p>
      <w:pPr>
        <w:pStyle w:val="Heading1"/>
      </w:pPr>
      <w:bookmarkStart w:id="20" w:name="aanchor4"/>
      <w:bookmarkEnd w:id="20"/>
      <w:r>
        <w:t xml:space="preserve"> </w:t>
      </w:r>
      <w:r>
        <w:t xml:space="preserve">Archer</w:t>
      </w:r>
      <w:r>
        <w:t xml:space="preserve"> </w:t>
      </w:r>
      <w:r>
        <w:t xml:space="preserve">Gerenciamento do programa de garantia de controles 2024.03</w:t>
      </w:r>
    </w:p>
    <w:p>
      <w:pPr>
        <w:pStyle w:val="FirstParagraph"/>
      </w:pPr>
      <w:r>
        <w:t xml:space="preserve">O Gerenciamento do programa de garantia de controles permite uma abordagem baseada em projeto para testar controles e oferece a estrutura e a taxonomia necessárias para que uma organização documente sistematicamente seu universo de controle e avalie e gere relatórios sobre o desempenho dos controles no nível da hierarquia da empresa e do processo de negócios.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1716c120df258aef780e1a896811f8fed0cf547">
        <w:r>
          <w:rPr>
            <w:rStyle w:val="Hyperlink"/>
          </w:rPr>
          <w:t xml:space="preserve">Benefícios do Gerenciamento do programa de garantia de controles</w:t>
        </w:r>
      </w:hyperlink>
    </w:p>
    <w:p>
      <w:pPr>
        <w:pStyle w:val="Compact"/>
        <w:numPr>
          <w:ilvl w:val="0"/>
          <w:numId w:val="1001"/>
        </w:numPr>
      </w:pPr>
      <w:hyperlink w:anchor="X2eebe1fd01e8157f68c3e2a64150bf3faee07dc">
        <w:r>
          <w:rPr>
            <w:rStyle w:val="Hyperlink"/>
          </w:rPr>
          <w:t xml:space="preserve">Como o Gerenciamento do programa de garantia de controles se enquadra em um programa de risco e conformidade</w:t>
        </w:r>
      </w:hyperlink>
    </w:p>
    <w:p>
      <w:pPr>
        <w:pStyle w:val="Compact"/>
        <w:numPr>
          <w:ilvl w:val="0"/>
          <w:numId w:val="1001"/>
        </w:numPr>
      </w:pPr>
    </w:p>
    <w:p>
      <w:pPr>
        <w:pStyle w:val="Compact"/>
        <w:numPr>
          <w:ilvl w:val="1"/>
          <w:numId w:val="1002"/>
        </w:numPr>
      </w:pPr>
      <w:hyperlink w:anchor="Casosdeusodepr%C3%A9requisitoeseguintes">
        <w:r>
          <w:rPr>
            <w:rStyle w:val="Hyperlink"/>
          </w:rPr>
          <w:t xml:space="preserve">Casos de uso de pré-requisito e seguintes</w:t>
        </w:r>
      </w:hyperlink>
    </w:p>
    <w:p>
      <w:pPr>
        <w:pStyle w:val="Compact"/>
        <w:numPr>
          <w:ilvl w:val="0"/>
          <w:numId w:val="1001"/>
        </w:numPr>
      </w:pPr>
      <w:hyperlink w:anchor="Introdu%C3%A7%C3%A3o">
        <w:r>
          <w:rPr>
            <w:rStyle w:val="Hyperlink"/>
          </w:rPr>
          <w:t xml:space="preserve">Introdução</w:t>
        </w:r>
      </w:hyperlink>
    </w:p>
    <w:bookmarkStart w:id="22" w:name="Xd9d009d41767746b44301e45b80d247202868af"/>
    <w:p>
      <w:pPr>
        <w:pStyle w:val="Heading2"/>
      </w:pPr>
      <w:r>
        <w:t xml:space="preserve">Benefícios do Gerenciamento do programa de garantia de controles</w:t>
      </w:r>
    </w:p>
    <w:p>
      <w:pPr>
        <w:pStyle w:val="FirstParagraph"/>
      </w:pPr>
      <w:r>
        <w:t xml:space="preserve">Com o Gerenciamento do programa de garantia de controles, as organizações podem aplicar diretrizes de controle corretas e claras para atingir seus objetivos de conformidade. Ao aprimorar a conexão entre os requisitos de conformidade e os controles internos, a empresa pode comunicar e informar melhor as obrigações de conformidade usando taxonomia e linguagem padrão em toda a organização. Com a estrutura de conformidade ágil e flexível do</w:t>
      </w:r>
      <w:r>
        <w:t xml:space="preserve"> </w:t>
      </w:r>
      <w:r>
        <w:t xml:space="preserve">Archer</w:t>
      </w:r>
      <w:r>
        <w:t xml:space="preserve">, as equipes de conformidade podem gerenciar mudanças normativas em toda a empresa de forma metódica e proativa.</w:t>
      </w:r>
    </w:p>
    <w:p>
      <w:pPr>
        <w:pStyle w:val="BodyText"/>
      </w:pPr>
      <w:r>
        <w:t xml:space="preserve">Para obter os principais recursos e benefícios deste caso de uso, consulte o Data sheet na</w:t>
      </w:r>
      <w:r>
        <w:t xml:space="preserve"> </w:t>
      </w:r>
      <w:r>
        <w:t xml:space="preserve">Archer Community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https://www.archerirm.community/t5/solution-use-case-overviews/archer-solutions-amp-use-cases/ba-p/572564</w:t>
        </w:r>
      </w:hyperlink>
    </w:p>
    <w:bookmarkEnd w:id="22"/>
    <w:bookmarkStart w:id="25" w:name="X2eebe1fd01e8157f68c3e2a64150bf3faee07dc"/>
    <w:p>
      <w:pPr>
        <w:pStyle w:val="Heading2"/>
      </w:pPr>
      <w:r>
        <w:t xml:space="preserve">Como o Gerenciamento do programa de garantia de controles se enquadra em um programa de risco e conformidade</w:t>
      </w:r>
    </w:p>
    <w:p>
      <w:pPr>
        <w:pStyle w:val="FirstParagraph"/>
      </w:pPr>
      <w:r>
        <w:t xml:space="preserve">O Gerenciamento do programa de garantia de controles do</w:t>
      </w:r>
      <w:r>
        <w:t xml:space="preserve"> </w:t>
      </w:r>
      <w:r>
        <w:t xml:space="preserve">Archer</w:t>
      </w:r>
      <w:r>
        <w:t xml:space="preserve"> </w:t>
      </w:r>
      <w:r>
        <w:t xml:space="preserve">é um caso de uso na área de solução de Gerenciamento da conformidade regulatória e corporativa do</w:t>
      </w:r>
      <w:r>
        <w:t xml:space="preserve"> </w:t>
      </w:r>
      <w:r>
        <w:t xml:space="preserve">Archer</w:t>
      </w:r>
      <w:r>
        <w:t xml:space="preserve">. As seções a seguir descrevem os casos de uso exigidos pelo Gerenciamento do programa de garantia de controles como pré-requisitos, para os quais você pode fazer upgrade quando seu programa amadurecer, e que podem ser integrados, em outras áreas de soluções, para a obtenção de outros contextos e funcionalidades de negócios.</w:t>
      </w:r>
    </w:p>
    <w:bookmarkStart w:id="24" w:name="Casosdeusodeprérequisitoeseguintes"/>
    <w:p>
      <w:pPr>
        <w:pStyle w:val="Heading3"/>
      </w:pPr>
      <w:r>
        <w:t xml:space="preserve">Casos de uso de pré-requisito e seguintes</w:t>
      </w:r>
    </w:p>
    <w:p>
      <w:pPr>
        <w:pStyle w:val="TableCaption"/>
      </w:pPr>
      <w:r>
        <w:t xml:space="preserve">O diagrama a seguir mostra como este caso de uso se enquadra na área de solução geral Gerenciamento de conformidade regulamentar e corporativa.</w:t>
      </w:r>
    </w:p>
    <w:p>
      <w:pPr>
        <w:pStyle w:val="TableCaption"/>
      </w:pPr>
      <w:r>
        <w:t xml:space="preserve">Para obter informações sobre estes casos de uso do</w:t>
      </w:r>
      <w:r>
        <w:t xml:space="preserve"> </w:t>
      </w:r>
      <w:r>
        <w:t xml:space="preserve">Archer</w:t>
      </w:r>
      <w:r>
        <w:t xml:space="preserve">, consulte a</w:t>
      </w:r>
      <w:r>
        <w:t xml:space="preserve"> </w:t>
      </w:r>
      <w:hyperlink r:id="rId23">
        <w:r>
          <w:rPr>
            <w:rStyle w:val="Hyperlink"/>
          </w:rPr>
          <w:t xml:space="preserve">Ajuda das soluções Archer.</w:t>
        </w:r>
      </w:hyperlink>
    </w:p>
    <w:tbl>
      <w:tblPr>
        <w:tblStyle w:val="Table"/>
        <w:tblW w:type="pct" w:w="4950"/>
        <w:tblLayout w:type="fixed"/>
        <w:tblLook w:firstRow="1" w:lastRow="0" w:firstColumn="0" w:lastColumn="0" w:noHBand="0" w:noVBand="0" w:val="0020"/>
        <w:tblCaption w:val="O diagrama a seguir mostra como este caso de uso se enquadra na área de solução geral Gerenciamento de conformidade regulamentar e corporativa.Para obter informações sobre estes casos de uso do Archer, consulte a Ajuda das soluções Archer."/>
      </w:tblPr>
      <w:tblGrid>
        <w:gridCol w:w="2613"/>
        <w:gridCol w:w="2613"/>
        <w:gridCol w:w="2613"/>
      </w:tblGrid>
      <w:tr>
        <w:trPr>
          <w:tblHeader w:val="on"/>
        </w:trPr>
        <w:tc>
          <w:tcPr/>
          <w:p>
            <w:pPr>
              <w:jc w:val="center"/>
            </w:pPr>
            <w:r>
              <w:t xml:space="preserve">Pré-requisitos</w:t>
            </w:r>
          </w:p>
        </w:tc>
        <w:tc>
          <w:tcPr/>
          <w:p>
            <w:pPr>
              <w:jc w:val="center"/>
            </w:pPr>
            <w:r>
              <w:t xml:space="preserve">O que você tem</w:t>
            </w:r>
          </w:p>
        </w:tc>
        <w:tc>
          <w:tcPr/>
          <w:p>
            <w:pPr>
              <w:jc w:val="center"/>
            </w:pPr>
            <w:r>
              <w:t xml:space="preserve">O que vem depois</w:t>
            </w:r>
          </w:p>
        </w:tc>
      </w:tr>
      <w:tr>
        <w:tc>
          <w:tcPr/>
          <w:p>
            <w:pPr>
              <w:pStyle w:val="BodyText"/>
            </w:pPr>
            <w:r>
              <w:t xml:space="preserve">Gerenciamento de problemas</w:t>
            </w:r>
          </w:p>
        </w:tc>
        <w:tc>
          <w:tcPr/>
          <w:p>
            <w:pPr>
              <w:pStyle w:val="BodyText"/>
            </w:pPr>
            <w:r>
              <w:t xml:space="preserve">Gerenciamento do programa de garantia de controles</w:t>
            </w:r>
          </w:p>
        </w:tc>
        <w:tc>
          <w:tcPr/>
          <w:p>
            <w:pPr>
              <w:pStyle w:val="BodyText"/>
            </w:pPr>
            <w:r>
              <w:t xml:space="preserve">Monitoramento de controles financeiros</w:t>
            </w:r>
          </w:p>
        </w:tc>
      </w:tr>
      <w:tr>
        <w:tc>
          <w:tcPr/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Rastrear e corrigir defeitos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Consolidar o processo de gerenciamento de problemas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Gerenciar exceções com aprovação/aceitação adequada de riscos</w:t>
            </w:r>
          </w:p>
        </w:tc>
        <w:tc>
          <w:tcPr/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Testes automatizados para controles técnicos e processo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Repositório e taxonomia de controles estruturados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Gerenciar problemas para obrigações corporativas e regulatórias relacionadas a mudanças</w:t>
            </w:r>
          </w:p>
          <w:p>
            <w:pPr>
              <w:pStyle w:val="Compact"/>
              <w:numPr>
                <w:ilvl w:val="0"/>
                <w:numId w:val="1004"/>
              </w:numPr>
            </w:pPr>
            <w:r>
              <w:t xml:space="preserve">Integrar a tecnologias de integração e testes</w:t>
            </w:r>
          </w:p>
        </w:tc>
        <w:tc>
          <w:tcPr/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Testar e manter controles financeiros para obrigações regulamentares como SOX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Gerenciar problemas detectados como parte do programa de controles financeiros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Fazer a auditoria e a manutenção de listas PBC (Provided By Client, fornecido pelo client)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Documentar e manter narrativas de processo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Documentar e analisar alterações em controles e processos</w:t>
            </w:r>
          </w:p>
        </w:tc>
      </w:tr>
    </w:tbl>
    <w:bookmarkEnd w:id="24"/>
    <w:bookmarkEnd w:id="25"/>
    <w:bookmarkStart w:id="30" w:name="Introdução"/>
    <w:p>
      <w:pPr>
        <w:pStyle w:val="Heading2"/>
      </w:pPr>
      <w:r>
        <w:t xml:space="preserve">Introdução</w:t>
      </w:r>
    </w:p>
    <w:p>
      <w:pPr>
        <w:pStyle w:val="Compact"/>
        <w:numPr>
          <w:ilvl w:val="0"/>
          <w:numId w:val="1006"/>
        </w:numPr>
      </w:pPr>
      <w:hyperlink r:id="rId26">
        <w:r>
          <w:rPr>
            <w:rStyle w:val="Hyperlink"/>
          </w:rPr>
          <w:t xml:space="preserve">Leia sobre o projeto de casos de uso</w:t>
        </w:r>
      </w:hyperlink>
    </w:p>
    <w:p>
      <w:pPr>
        <w:pStyle w:val="Compact"/>
        <w:numPr>
          <w:ilvl w:val="0"/>
          <w:numId w:val="1006"/>
        </w:numPr>
      </w:pPr>
      <w:hyperlink r:id="rId27">
        <w:r>
          <w:rPr>
            <w:rStyle w:val="Hyperlink"/>
          </w:rPr>
          <w:t xml:space="preserve">Saiba como funciona o caso de uso</w:t>
        </w:r>
      </w:hyperlink>
    </w:p>
    <w:p>
      <w:pPr>
        <w:pStyle w:val="Compact"/>
        <w:numPr>
          <w:ilvl w:val="0"/>
          <w:numId w:val="1006"/>
        </w:numPr>
      </w:pPr>
      <w:hyperlink r:id="rId28">
        <w:r>
          <w:rPr>
            <w:rStyle w:val="Hyperlink"/>
          </w:rPr>
          <w:t xml:space="preserve">Instalar e configurar o caso de uso</w:t>
        </w:r>
      </w:hyperlink>
    </w:p>
    <w:p>
      <w:pPr>
        <w:pStyle w:val="Compact"/>
        <w:numPr>
          <w:ilvl w:val="0"/>
          <w:numId w:val="1006"/>
        </w:numPr>
      </w:pPr>
      <w:hyperlink r:id="rId29">
        <w:r>
          <w:rPr>
            <w:rStyle w:val="Hyperlink"/>
          </w:rPr>
          <w:t xml:space="preserve">O que há de novo nesta versão</w:t>
        </w:r>
      </w:hyperlink>
    </w:p>
    <w:bookmarkEnd w:id="30"/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RN_RegCorpComp/rccm_ctrlprg_2024_03_RN.htm" TargetMode="External" /><Relationship Type="http://schemas.openxmlformats.org/officeDocument/2006/relationships/hyperlink" Id="rId23" Target="https://help.archerirm.cloud/archer_suite_help/en-us/Content/PortalHome/SolutionsHome/sol_home.htm" TargetMode="External" /><Relationship Type="http://schemas.openxmlformats.org/officeDocument/2006/relationships/hyperlink" Id="rId21" Target="https://www.archerirm.community/t5/solution-use-case-overviews/archer-solutions-amp-use-cases/ba-p/572564" TargetMode="External" /><Relationship Type="http://schemas.openxmlformats.org/officeDocument/2006/relationships/hyperlink" Id="rId26" Target="rccm_ctrlprg_design.htm" TargetMode="External" /><Relationship Type="http://schemas.openxmlformats.org/officeDocument/2006/relationships/hyperlink" Id="rId28" Target="rccm_ctrlprg_install.htm" TargetMode="External" /><Relationship Type="http://schemas.openxmlformats.org/officeDocument/2006/relationships/hyperlink" Id="rId27" Target="rccm_ctrlprg_us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RN_RegCorpComp/rccm_ctrlprg_2024_03_RN.htm" TargetMode="External" /><Relationship Type="http://schemas.openxmlformats.org/officeDocument/2006/relationships/hyperlink" Id="rId23" Target="https://help.archerirm.cloud/archer_suite_help/en-us/Content/PortalHome/SolutionsHome/sol_home.htm" TargetMode="External" /><Relationship Type="http://schemas.openxmlformats.org/officeDocument/2006/relationships/hyperlink" Id="rId21" Target="https://www.archerirm.community/t5/solution-use-case-overviews/archer-solutions-amp-use-cases/ba-p/572564" TargetMode="External" /><Relationship Type="http://schemas.openxmlformats.org/officeDocument/2006/relationships/hyperlink" Id="rId26" Target="rccm_ctrlprg_design.htm" TargetMode="External" /><Relationship Type="http://schemas.openxmlformats.org/officeDocument/2006/relationships/hyperlink" Id="rId28" Target="rccm_ctrlprg_install.htm" TargetMode="External" /><Relationship Type="http://schemas.openxmlformats.org/officeDocument/2006/relationships/hyperlink" Id="rId27" Target="rccm_ctrlprg_us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2025-03-06T14:51:10Z</dcterms:created>
  <dcterms:modified xsi:type="dcterms:W3CDTF">2025-03-06T14:51:10Z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